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mc:AlternateContent>
          <mc:Choice Requires="wps">
            <w:drawing>
              <wp:anchor distT="0" distB="0" distL="114300" distR="114300" simplePos="0" relativeHeight="251662336" behindDoc="0" locked="0" layoutInCell="1" allowOverlap="1">
                <wp:simplePos x="0" y="0"/>
                <wp:positionH relativeFrom="column">
                  <wp:posOffset>771525</wp:posOffset>
                </wp:positionH>
                <wp:positionV relativeFrom="paragraph">
                  <wp:posOffset>6724015</wp:posOffset>
                </wp:positionV>
                <wp:extent cx="6482080" cy="1216660"/>
                <wp:effectExtent l="0" t="0" r="0" b="0"/>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482080" cy="1216660"/>
                        </a:xfrm>
                        <a:prstGeom prst="rect">
                          <a:avLst/>
                        </a:prstGeom>
                        <a:noFill/>
                        <a:ln w="9525">
                          <a:noFill/>
                          <a:miter lim="800000"/>
                        </a:ln>
                      </wps:spPr>
                      <wps:txbx>
                        <w:txbxContent>
                          <w:p>
                            <w:pPr>
                              <w:spacing w:line="600" w:lineRule="auto"/>
                              <w:jc w:val="left"/>
                              <w:rPr>
                                <w:rFonts w:hint="eastAsia" w:ascii="楷体_GB2312" w:hAnsi="楷体_GB2312" w:eastAsia="黑体" w:cs="楷体_GB2312"/>
                                <w:color w:val="000000"/>
                                <w:sz w:val="40"/>
                                <w:szCs w:val="40"/>
                                <w:lang w:eastAsia="zh-CN"/>
                              </w:rPr>
                            </w:pPr>
                          </w:p>
                          <w:p>
                            <w:pPr>
                              <w:spacing w:line="600" w:lineRule="auto"/>
                              <w:jc w:val="left"/>
                              <w:rPr>
                                <w:rFonts w:hint="eastAsia"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承德市粮油质量检测中心</w:t>
                            </w:r>
                          </w:p>
                          <w:p>
                            <w:pPr>
                              <w:spacing w:line="600" w:lineRule="auto"/>
                              <w:jc w:val="left"/>
                              <w:rPr>
                                <w:rFonts w:hint="eastAsia" w:ascii="楷体_GB2312" w:hAnsi="楷体_GB2312" w:eastAsia="楷体_GB2312" w:cs="楷体_GB2312"/>
                                <w:color w:val="000000"/>
                                <w:sz w:val="40"/>
                                <w:szCs w:val="40"/>
                                <w:lang w:val="en-US" w:eastAsia="zh-CN"/>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60.75pt;margin-top:529.45pt;height:95.8pt;width:510.4pt;z-index:251662336;mso-width-relative:page;mso-height-relative:page;" filled="f" stroked="f" coordsize="21600,21600" o:gfxdata="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d&#10;jc+q2AAAAA4BAAAPAAAAAAAAAAEAIAAAACIAAABkcnMvZG93bnJldi54bWxQSwECFAAUAAAACACH&#10;TuJAapSUUiQCAAAqBAAADgAAAAAAAAABACAAAAAnAQAAZHJzL2Uyb0RvYy54bWxQSwUGAAAAAAYA&#10;BgBZAQAAvQUAAAAA&#10;">
                <v:fill on="f" focussize="0,0"/>
                <v:stroke on="f" miterlimit="8" joinstyle="miter"/>
                <v:imagedata o:title=""/>
                <o:lock v:ext="edit" aspectratio="f"/>
                <v:textbox>
                  <w:txbxContent>
                    <w:p>
                      <w:pPr>
                        <w:spacing w:line="600" w:lineRule="auto"/>
                        <w:jc w:val="left"/>
                        <w:rPr>
                          <w:rFonts w:hint="eastAsia" w:ascii="楷体_GB2312" w:hAnsi="楷体_GB2312" w:eastAsia="黑体" w:cs="楷体_GB2312"/>
                          <w:color w:val="000000"/>
                          <w:sz w:val="40"/>
                          <w:szCs w:val="40"/>
                          <w:lang w:eastAsia="zh-CN"/>
                        </w:rPr>
                      </w:pPr>
                    </w:p>
                    <w:p>
                      <w:pPr>
                        <w:spacing w:line="600" w:lineRule="auto"/>
                        <w:jc w:val="left"/>
                        <w:rPr>
                          <w:rFonts w:hint="eastAsia"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承德市粮油质量检测中心</w:t>
                      </w:r>
                    </w:p>
                    <w:p>
                      <w:pPr>
                        <w:spacing w:line="600" w:lineRule="auto"/>
                        <w:jc w:val="left"/>
                        <w:rPr>
                          <w:rFonts w:hint="eastAsia" w:ascii="楷体_GB2312" w:hAnsi="楷体_GB2312" w:eastAsia="楷体_GB2312" w:cs="楷体_GB2312"/>
                          <w:color w:val="000000"/>
                          <w:sz w:val="40"/>
                          <w:szCs w:val="40"/>
                          <w:lang w:val="en-US" w:eastAsia="zh-CN"/>
                        </w:rPr>
                      </w:pPr>
                    </w:p>
                  </w:txbxContent>
                </v:textbox>
              </v:shape>
            </w:pict>
          </mc:Fallback>
        </mc:AlternateContent>
      </w:r>
      <w:r>
        <w:drawing>
          <wp:anchor distT="0" distB="0" distL="114300" distR="114300" simplePos="0" relativeHeight="251659264" behindDoc="0" locked="0" layoutInCell="1" allowOverlap="1">
            <wp:simplePos x="0" y="0"/>
            <wp:positionH relativeFrom="margin">
              <wp:posOffset>-2820670</wp:posOffset>
            </wp:positionH>
            <wp:positionV relativeFrom="margin">
              <wp:posOffset>304165</wp:posOffset>
            </wp:positionV>
            <wp:extent cx="11083290" cy="7844790"/>
            <wp:effectExtent l="0" t="0" r="3810" b="3810"/>
            <wp:wrapNone/>
            <wp:docPr id="73" name="背景 耗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背景 耗崽"/>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rot="16200000">
                      <a:off x="0" y="0"/>
                      <a:ext cx="11083290" cy="7844790"/>
                    </a:xfrm>
                    <a:prstGeom prst="rect">
                      <a:avLst/>
                    </a:prstGeom>
                  </pic:spPr>
                </pic:pic>
              </a:graphicData>
            </a:graphic>
          </wp:anchor>
        </w:drawing>
      </w:r>
      <w:r>
        <mc:AlternateContent>
          <mc:Choice Requires="wps">
            <w:drawing>
              <wp:anchor distT="0" distB="0" distL="114300" distR="114300" simplePos="0" relativeHeight="251660288" behindDoc="0" locked="0" layoutInCell="1" allowOverlap="1">
                <wp:simplePos x="0" y="0"/>
                <wp:positionH relativeFrom="column">
                  <wp:posOffset>-179070</wp:posOffset>
                </wp:positionH>
                <wp:positionV relativeFrom="paragraph">
                  <wp:posOffset>-245110</wp:posOffset>
                </wp:positionV>
                <wp:extent cx="3510915" cy="999490"/>
                <wp:effectExtent l="0" t="0" r="0" b="0"/>
                <wp:wrapNone/>
                <wp:docPr id="89" name="文本框 32"/>
                <wp:cNvGraphicFramePr/>
                <a:graphic xmlns:a="http://schemas.openxmlformats.org/drawingml/2006/main">
                  <a:graphicData uri="http://schemas.microsoft.com/office/word/2010/wordprocessingShape">
                    <wps:wsp>
                      <wps:cNvSpPr txBox="1"/>
                      <wps:spPr>
                        <a:xfrm>
                          <a:off x="0" y="0"/>
                          <a:ext cx="3510915" cy="999490"/>
                        </a:xfrm>
                        <a:prstGeom prst="rect">
                          <a:avLst/>
                        </a:prstGeom>
                        <a:noFill/>
                      </wps:spPr>
                      <wps:txbx>
                        <w:txbxContent>
                          <w:p>
                            <w:pPr>
                              <w:jc w:val="left"/>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2021年度</w:t>
                            </w:r>
                          </w:p>
                        </w:txbxContent>
                      </wps:txbx>
                      <wps:bodyPr wrap="square" rtlCol="0">
                        <a:noAutofit/>
                      </wps:bodyPr>
                    </wps:wsp>
                  </a:graphicData>
                </a:graphic>
              </wp:anchor>
            </w:drawing>
          </mc:Choice>
          <mc:Fallback>
            <w:pict>
              <v:shape id="文本框 32" o:spid="_x0000_s1026" o:spt="202" type="#_x0000_t202" style="position:absolute;left:0pt;margin-left:-14.1pt;margin-top:-19.3pt;height:78.7pt;width:276.45pt;z-index:251660288;mso-width-relative:page;mso-height-relative:page;" filled="f" stroked="f" coordsize="21600,21600" o:gfxdata="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57axi9gAAAALAQAADwAAAAAAAAABACAAAAAiAAAAZHJzL2Rvd25yZXYueG1sUEsB&#10;AhQAFAAAAAgAh07iQDVcMje8AQAAXwMAAA4AAAAAAAAAAQAgAAAAJwEAAGRycy9lMm9Eb2MueG1s&#10;UEsFBgAAAAAGAAYAWQEAAFUFAAAAAA==&#10;">
                <v:fill on="f" focussize="0,0"/>
                <v:stroke on="f"/>
                <v:imagedata o:title=""/>
                <o:lock v:ext="edit" aspectratio="f"/>
                <v:textbox>
                  <w:txbxContent>
                    <w:p>
                      <w:pPr>
                        <w:jc w:val="left"/>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2021年度</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1120140</wp:posOffset>
                </wp:positionH>
                <wp:positionV relativeFrom="paragraph">
                  <wp:posOffset>7942580</wp:posOffset>
                </wp:positionV>
                <wp:extent cx="3260090" cy="520700"/>
                <wp:effectExtent l="0" t="0" r="0" b="0"/>
                <wp:wrapNone/>
                <wp:docPr id="1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260090" cy="520700"/>
                        </a:xfrm>
                        <a:prstGeom prst="rect">
                          <a:avLst/>
                        </a:prstGeom>
                        <a:noFill/>
                        <a:ln w="9525">
                          <a:noFill/>
                          <a:miter lim="800000"/>
                        </a:ln>
                      </wps:spPr>
                      <wps:txb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二〇二二年</w:t>
                            </w:r>
                            <w:r>
                              <w:rPr>
                                <w:rFonts w:hint="eastAsia" w:ascii="楷体_GB2312" w:hAnsi="楷体_GB2312" w:eastAsia="楷体_GB2312" w:cs="楷体_GB2312"/>
                                <w:color w:val="000000"/>
                                <w:sz w:val="40"/>
                                <w:szCs w:val="40"/>
                                <w:lang w:val="en-US" w:eastAsia="zh-CN"/>
                              </w:rPr>
                              <w:t>十一</w:t>
                            </w:r>
                            <w:r>
                              <w:rPr>
                                <w:rFonts w:hint="eastAsia" w:ascii="楷体_GB2312" w:hAnsi="楷体_GB2312" w:eastAsia="楷体_GB2312" w:cs="楷体_GB2312"/>
                                <w:color w:val="000000"/>
                                <w:sz w:val="40"/>
                                <w:szCs w:val="40"/>
                              </w:rPr>
                              <w:t>月</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88.2pt;margin-top:625.4pt;height:41pt;width:256.7pt;z-index:251664384;mso-width-relative:page;mso-height-relative:page;" filled="f" stroked="f" coordsize="21600,21600" o:gfxdata="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s&#10;57Bx2AAAAA0BAAAPAAAAAAAAAAEAIAAAACIAAABkcnMvZG93bnJldi54bWxQSwECFAAUAAAACACH&#10;TuJAIAewiyQCAAAqBAAADgAAAAAAAAABACAAAAAnAQAAZHJzL2Uyb0RvYy54bWxQSwUGAAAAAAYA&#10;BgBZAQAAvQUAAAAA&#10;">
                <v:fill on="f" focussize="0,0"/>
                <v:stroke on="f" miterlimit="8" joinstyle="miter"/>
                <v:imagedata o:title=""/>
                <o:lock v:ext="edit" aspectratio="f"/>
                <v:textbo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二〇二二年</w:t>
                      </w:r>
                      <w:r>
                        <w:rPr>
                          <w:rFonts w:hint="eastAsia" w:ascii="楷体_GB2312" w:hAnsi="楷体_GB2312" w:eastAsia="楷体_GB2312" w:cs="楷体_GB2312"/>
                          <w:color w:val="000000"/>
                          <w:sz w:val="40"/>
                          <w:szCs w:val="40"/>
                          <w:lang w:val="en-US" w:eastAsia="zh-CN"/>
                        </w:rPr>
                        <w:t>十一</w:t>
                      </w:r>
                      <w:r>
                        <w:rPr>
                          <w:rFonts w:hint="eastAsia" w:ascii="楷体_GB2312" w:hAnsi="楷体_GB2312" w:eastAsia="楷体_GB2312" w:cs="楷体_GB2312"/>
                          <w:color w:val="000000"/>
                          <w:sz w:val="40"/>
                          <w:szCs w:val="40"/>
                        </w:rPr>
                        <w:t>月</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-253365</wp:posOffset>
                </wp:positionH>
                <wp:positionV relativeFrom="paragraph">
                  <wp:posOffset>1611630</wp:posOffset>
                </wp:positionV>
                <wp:extent cx="5494020" cy="570230"/>
                <wp:effectExtent l="0" t="0" r="0" b="0"/>
                <wp:wrapNone/>
                <wp:docPr id="98" name="文本框 33"/>
                <wp:cNvGraphicFramePr/>
                <a:graphic xmlns:a="http://schemas.openxmlformats.org/drawingml/2006/main">
                  <a:graphicData uri="http://schemas.microsoft.com/office/word/2010/wordprocessingShape">
                    <wps:wsp>
                      <wps:cNvSpPr txBox="1"/>
                      <wps:spPr>
                        <a:xfrm>
                          <a:off x="0" y="0"/>
                          <a:ext cx="5494020" cy="570230"/>
                        </a:xfrm>
                        <a:prstGeom prst="rect">
                          <a:avLst/>
                        </a:prstGeom>
                        <a:noFill/>
                      </wps:spPr>
                      <wps:txbx>
                        <w:txbxContent>
                          <w:p>
                            <w:pPr>
                              <w:jc w:val="distribute"/>
                              <w:rPr>
                                <w:rFonts w:ascii="思源黑体 CN Heavy" w:hAnsi="思源黑体 CN Heavy" w:eastAsia="思源黑体 CN Heavy"/>
                                <w:color w:val="A6A6A6" w:themeColor="background1" w:themeShade="A6"/>
                                <w:kern w:val="0"/>
                                <w:sz w:val="40"/>
                                <w:szCs w:val="40"/>
                              </w:rPr>
                            </w:pPr>
                          </w:p>
                        </w:txbxContent>
                      </wps:txbx>
                      <wps:bodyPr wrap="square" rtlCol="0">
                        <a:noAutofit/>
                      </wps:bodyPr>
                    </wps:wsp>
                  </a:graphicData>
                </a:graphic>
              </wp:anchor>
            </w:drawing>
          </mc:Choice>
          <mc:Fallback>
            <w:pict>
              <v:shape id="文本框 33" o:spid="_x0000_s1026" o:spt="202" type="#_x0000_t202" style="position:absolute;left:0pt;margin-left:-19.95pt;margin-top:126.9pt;height:44.9pt;width:432.6pt;z-index:251661312;mso-width-relative:page;mso-height-relative:page;" filled="f" stroked="f" coordsize="21600,21600" o:gfxdata="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allr9gAAAALAQAADwAAAAAAAAABACAAAAAiAAAAZHJzL2Rvd25yZXYueG1sUEsB&#10;AhQAFAAAAAgAh07iQFu9ble8AQAAXwMAAA4AAAAAAAAAAQAgAAAAJwEAAGRycy9lMm9Eb2MueG1s&#10;UEsFBgAAAAAGAAYAWQEAAFUFAAAAAA==&#10;">
                <v:fill on="f" focussize="0,0"/>
                <v:stroke on="f"/>
                <v:imagedata o:title=""/>
                <o:lock v:ext="edit" aspectratio="f"/>
                <v:textbox>
                  <w:txbxContent>
                    <w:p>
                      <w:pPr>
                        <w:jc w:val="distribute"/>
                        <w:rPr>
                          <w:rFonts w:ascii="思源黑体 CN Heavy" w:hAnsi="思源黑体 CN Heavy" w:eastAsia="思源黑体 CN Heavy"/>
                          <w:color w:val="A6A6A6" w:themeColor="background1" w:themeShade="A6"/>
                          <w:kern w:val="0"/>
                          <w:sz w:val="40"/>
                          <w:szCs w:val="40"/>
                        </w:rPr>
                      </w:pPr>
                    </w:p>
                  </w:txbxContent>
                </v:textbox>
              </v:shape>
            </w:pict>
          </mc:Fallback>
        </mc:AlternateContent>
      </w:r>
      <w:r>
        <mc:AlternateContent>
          <mc:Choice Requires="wpg">
            <w:drawing>
              <wp:anchor distT="0" distB="0" distL="114300" distR="114300" simplePos="0" relativeHeight="251663360" behindDoc="0" locked="0" layoutInCell="1" allowOverlap="1">
                <wp:simplePos x="0" y="0"/>
                <wp:positionH relativeFrom="column">
                  <wp:posOffset>-280670</wp:posOffset>
                </wp:positionH>
                <wp:positionV relativeFrom="paragraph">
                  <wp:posOffset>700405</wp:posOffset>
                </wp:positionV>
                <wp:extent cx="5736590" cy="871855"/>
                <wp:effectExtent l="0" t="0" r="0" b="14605"/>
                <wp:wrapNone/>
                <wp:docPr id="6" name="组合 6"/>
                <wp:cNvGraphicFramePr/>
                <a:graphic xmlns:a="http://schemas.openxmlformats.org/drawingml/2006/main">
                  <a:graphicData uri="http://schemas.microsoft.com/office/word/2010/wordprocessingGroup">
                    <wpg:wgp>
                      <wpg:cNvGrpSpPr/>
                      <wpg:grpSpPr>
                        <a:xfrm>
                          <a:off x="0" y="0"/>
                          <a:ext cx="5736590" cy="871855"/>
                          <a:chOff x="6119" y="3077"/>
                          <a:chExt cx="9034" cy="1373"/>
                        </a:xfrm>
                      </wpg:grpSpPr>
                      <wps:wsp>
                        <wps:cNvPr id="91" name="文本框 32"/>
                        <wps:cNvSpPr txBox="1"/>
                        <wps:spPr>
                          <a:xfrm>
                            <a:off x="6119" y="3077"/>
                            <a:ext cx="9034" cy="1187"/>
                          </a:xfrm>
                          <a:prstGeom prst="rect">
                            <a:avLst/>
                          </a:prstGeom>
                          <a:noFill/>
                        </wps:spPr>
                        <wps:txb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wps:txbx>
                        <wps:bodyPr wrap="square" rtlCol="0">
                          <a:noAutofit/>
                        </wps:bodyPr>
                      </wps:wsp>
                      <wps:wsp>
                        <wps:cNvPr id="4" name="直接连接符 4"/>
                        <wps:cNvCnPr/>
                        <wps:spPr>
                          <a:xfrm>
                            <a:off x="6226" y="4450"/>
                            <a:ext cx="8700" cy="0"/>
                          </a:xfrm>
                          <a:prstGeom prst="line">
                            <a:avLst/>
                          </a:prstGeom>
                          <a:ln w="28575" cmpd="sng">
                            <a:solidFill>
                              <a:schemeClr val="accent1">
                                <a:shade val="50000"/>
                              </a:scheme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2.1pt;margin-top:55.15pt;height:68.65pt;width:451.7pt;z-index:251663360;mso-width-relative:page;mso-height-relative:page;" coordorigin="6119,3077" coordsize="9034,1373" o:gfxdata="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Ov0BKvbAAAACwEAAA8AAAAAAAAAAQAgAAAAIgAAAGRy&#10;cy9kb3ducmV2LnhtbFBLAQIUABQAAAAIAIdO4kDOaUgp5gIAAIkGAAAOAAAAAAAAAAEAIAAAACoB&#10;AABkcnMvZTJvRG9jLnhtbFBLBQYAAAAABgAGAFkBAACCBgAAAAA=&#10;">
                <o:lock v:ext="edit" aspectratio="f"/>
                <v:shape id="文本框 32" o:spid="_x0000_s1026" o:spt="202" type="#_x0000_t202" style="position:absolute;left:6119;top:3077;height:1187;width:9034;" filled="f" stroked="f" coordsize="21600,21600" o:gfxdata="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SwgN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v:textbox>
                </v:shape>
                <v:line id="_x0000_s1026" o:spid="_x0000_s1026" o:spt="20" style="position:absolute;left:6226;top:4450;height:0;width:8700;" filled="f" stroked="t" coordsize="21600,21600" o:gfxdata="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kshgLsAAADa&#10;AAAADwAAAAAAAAABACAAAAAiAAAAZHJzL2Rvd25yZXYueG1sUEsBAhQAFAAAAAgAh07iQDMvBZ47&#10;AAAAOQAAABAAAAAAAAAAAQAgAAAACgEAAGRycy9zaGFwZXhtbC54bWxQSwUGAAAAAAYABgBbAQAA&#10;tAMAAAAA&#10;">
                  <v:fill on="f" focussize="0,0"/>
                  <v:stroke weight="2.25pt" color="#41719C [3204]" miterlimit="8" joinstyle="miter" dashstyle="1 1"/>
                  <v:imagedata o:title=""/>
                  <o:lock v:ext="edit" aspectratio="f"/>
                </v:line>
              </v:group>
            </w:pict>
          </mc:Fallback>
        </mc:AlternateContent>
      </w:r>
      <w:r>
        <w:br w:type="page"/>
      </w: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drawing>
          <wp:anchor distT="0" distB="0" distL="114300" distR="114300" simplePos="0" relativeHeight="251668480" behindDoc="0" locked="0" layoutInCell="1" allowOverlap="1">
            <wp:simplePos x="0" y="0"/>
            <wp:positionH relativeFrom="column">
              <wp:posOffset>1283335</wp:posOffset>
            </wp:positionH>
            <wp:positionV relativeFrom="margin">
              <wp:posOffset>259080</wp:posOffset>
            </wp:positionV>
            <wp:extent cx="639445" cy="639445"/>
            <wp:effectExtent l="0" t="0" r="0" b="8255"/>
            <wp:wrapNone/>
            <wp:docPr id="71" name="图片 71" descr="32313538393631303b32313538393632373bc4bfc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32313538393631303b32313538393632373bc4bfc2bc"/>
                    <pic:cNvPicPr>
                      <a:picLocks noChangeAspect="1"/>
                    </pic:cNvPicPr>
                  </pic:nvPicPr>
                  <pic:blipFill>
                    <a:blip r:embed="rId10"/>
                    <a:stretch>
                      <a:fillRect/>
                    </a:stretch>
                  </pic:blipFill>
                  <pic:spPr>
                    <a:xfrm>
                      <a:off x="0" y="0"/>
                      <a:ext cx="639445" cy="639445"/>
                    </a:xfrm>
                    <a:prstGeom prst="rect">
                      <a:avLst/>
                    </a:prstGeom>
                  </pic:spPr>
                </pic:pic>
              </a:graphicData>
            </a:graphic>
          </wp:anchor>
        </w:drawing>
      </w:r>
    </w:p>
    <w:p>
      <w:pPr>
        <w:tabs>
          <w:tab w:val="left" w:pos="2728"/>
        </w:tabs>
        <w:jc w:val="center"/>
        <w:rPr>
          <w:rFonts w:ascii="黑体" w:hAnsi="Times New Roman" w:eastAsia="黑体" w:cs="Times New Roman"/>
          <w:sz w:val="44"/>
          <w:szCs w:val="44"/>
        </w:rPr>
      </w:pPr>
      <w:r>
        <w:rPr>
          <w:rFonts w:hint="eastAsia" w:ascii="黑体" w:hAnsi="Times New Roman" w:eastAsia="黑体" w:cs="Times New Roman"/>
          <w:sz w:val="44"/>
          <w:szCs w:val="44"/>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2021年</w:t>
      </w:r>
      <w:r>
        <w:rPr>
          <w:rFonts w:ascii="Times New Roman" w:hAnsi="Times New Roman" w:eastAsia="黑体" w:cs="Times New Roman"/>
          <w:sz w:val="32"/>
          <w:szCs w:val="32"/>
        </w:rPr>
        <w:t>度部门决算报表</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rPr>
        <w:t>2021年</w:t>
      </w:r>
      <w:r>
        <w:rPr>
          <w:rFonts w:ascii="Times New Roman" w:hAnsi="Times New Roman" w:eastAsia="黑体" w:cs="Times New Roman"/>
          <w:sz w:val="32"/>
          <w:szCs w:val="32"/>
        </w:rPr>
        <w:t>部门决算情况说明</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 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政府采购情况</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黑体" w:cs="Times New Roman"/>
          <w:sz w:val="32"/>
          <w:szCs w:val="32"/>
        </w:rPr>
        <w:sectPr>
          <w:headerReference r:id="rId4" w:type="first"/>
          <w:footerReference r:id="rId6" w:type="first"/>
          <w:headerReference r:id="rId3" w:type="default"/>
          <w:footerReference r:id="rId5" w:type="default"/>
          <w:pgSz w:w="11906" w:h="16838"/>
          <w:pgMar w:top="1474" w:right="1531" w:bottom="1474" w:left="1531" w:header="851" w:footer="992" w:gutter="0"/>
          <w:cols w:space="0" w:num="1"/>
          <w:titlePg/>
          <w:docGrid w:type="lines" w:linePitch="312" w:charSpace="0"/>
        </w:sectPr>
      </w:pPr>
    </w:p>
    <w:p>
      <w:pPr>
        <w:widowControl/>
        <w:jc w:val="both"/>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sz w:val="32"/>
        </w:rPr>
        <w:drawing>
          <wp:anchor distT="0" distB="0" distL="114300" distR="114300" simplePos="0" relativeHeight="251666432" behindDoc="0" locked="0" layoutInCell="1" allowOverlap="1">
            <wp:simplePos x="0" y="0"/>
            <wp:positionH relativeFrom="column">
              <wp:posOffset>643255</wp:posOffset>
            </wp:positionH>
            <wp:positionV relativeFrom="margin">
              <wp:posOffset>2016760</wp:posOffset>
            </wp:positionV>
            <wp:extent cx="739775" cy="739775"/>
            <wp:effectExtent l="0" t="0" r="9525" b="9525"/>
            <wp:wrapNone/>
            <wp:docPr id="67" name="图片 67" descr="32313535393135353b32313535393132353bd0b4d7d6c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32313535393135353b32313535393132353bd0b4d7d6c2a5"/>
                    <pic:cNvPicPr>
                      <a:picLocks noChangeAspect="1"/>
                    </pic:cNvPicPr>
                  </pic:nvPicPr>
                  <pic:blipFill>
                    <a:blip r:embed="rId11"/>
                    <a:stretch>
                      <a:fillRect/>
                    </a:stretch>
                  </pic:blipFill>
                  <pic:spPr>
                    <a:xfrm>
                      <a:off x="0" y="0"/>
                      <a:ext cx="739775" cy="739775"/>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第一部分  部门概况</w:t>
      </w:r>
    </w:p>
    <w:p>
      <w:pPr>
        <w:widowControl/>
        <w:spacing w:line="580" w:lineRule="exact"/>
        <w:ind w:firstLine="640" w:firstLineChars="200"/>
        <w:rPr>
          <w:rFonts w:eastAsia="黑体"/>
          <w:sz w:val="32"/>
          <w:szCs w:val="32"/>
        </w:rPr>
      </w:pPr>
    </w:p>
    <w:p>
      <w:pPr>
        <w:rPr>
          <w:rFonts w:ascii="黑体" w:eastAsia="黑体" w:cs="黑体"/>
          <w:kern w:val="0"/>
          <w:sz w:val="32"/>
          <w:szCs w:val="32"/>
        </w:rPr>
      </w:pPr>
      <w:r>
        <w:rPr>
          <w:rFonts w:hint="eastAsia" w:ascii="黑体" w:eastAsia="黑体" w:cs="黑体"/>
          <w:kern w:val="0"/>
          <w:sz w:val="32"/>
          <w:szCs w:val="32"/>
        </w:rPr>
        <w:br w:type="page"/>
      </w:r>
    </w:p>
    <w:p>
      <w:pPr>
        <w:pStyle w:val="3"/>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根据国家和各级政府的法规及文件要求，我中心承担着政策性粮油的检验职能。</w:t>
      </w:r>
    </w:p>
    <w:p>
      <w:pPr>
        <w:widowControl/>
        <w:shd w:val="clear" w:color="auto" w:fill="FFFFFF"/>
        <w:spacing w:line="560" w:lineRule="exact"/>
        <w:ind w:firstLine="64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（1）承德市粮油质量检测中心在发改委的领导下，在全市范围内全面贯彻执行《粮食流通管理条例》、《</w:t>
      </w:r>
      <w:r>
        <w:rPr>
          <w:rFonts w:hint="eastAsia" w:ascii="仿宋_GB2312" w:hAnsi="仿宋_GB2312" w:eastAsia="仿宋_GB2312" w:cs="仿宋_GB2312"/>
          <w:kern w:val="0"/>
          <w:sz w:val="32"/>
          <w:szCs w:val="32"/>
          <w:lang w:val="en-US" w:eastAsia="zh-CN"/>
        </w:rPr>
        <w:t>中华人民共和国产品</w:t>
      </w:r>
      <w:r>
        <w:rPr>
          <w:rFonts w:hint="eastAsia" w:ascii="仿宋_GB2312" w:hAnsi="仿宋_GB2312" w:eastAsia="仿宋_GB2312" w:cs="仿宋_GB2312"/>
          <w:kern w:val="0"/>
          <w:sz w:val="32"/>
          <w:szCs w:val="32"/>
        </w:rPr>
        <w:t>质量法》、《</w:t>
      </w:r>
      <w:r>
        <w:rPr>
          <w:rFonts w:hint="eastAsia" w:ascii="仿宋_GB2312" w:hAnsi="仿宋_GB2312" w:eastAsia="仿宋_GB2312" w:cs="仿宋_GB2312"/>
          <w:kern w:val="0"/>
          <w:sz w:val="32"/>
          <w:szCs w:val="32"/>
          <w:lang w:val="en-US" w:eastAsia="zh-CN"/>
        </w:rPr>
        <w:t>中华人民共和国</w:t>
      </w:r>
      <w:r>
        <w:rPr>
          <w:rFonts w:hint="eastAsia" w:ascii="仿宋_GB2312" w:hAnsi="仿宋_GB2312" w:eastAsia="仿宋_GB2312" w:cs="仿宋_GB2312"/>
          <w:kern w:val="0"/>
          <w:sz w:val="32"/>
          <w:szCs w:val="32"/>
        </w:rPr>
        <w:t>计量</w:t>
      </w:r>
      <w:bookmarkStart w:id="0" w:name="_GoBack"/>
      <w:bookmarkEnd w:id="0"/>
      <w:r>
        <w:rPr>
          <w:rFonts w:hint="eastAsia" w:ascii="仿宋_GB2312" w:hAnsi="仿宋_GB2312" w:eastAsia="仿宋_GB2312" w:cs="仿宋_GB2312"/>
          <w:kern w:val="0"/>
          <w:sz w:val="32"/>
          <w:szCs w:val="32"/>
        </w:rPr>
        <w:t>法》、《</w:t>
      </w:r>
      <w:r>
        <w:rPr>
          <w:rFonts w:hint="eastAsia" w:ascii="仿宋_GB2312" w:hAnsi="仿宋_GB2312" w:eastAsia="仿宋_GB2312" w:cs="仿宋_GB2312"/>
          <w:kern w:val="0"/>
          <w:sz w:val="32"/>
          <w:szCs w:val="32"/>
          <w:lang w:val="en-US" w:eastAsia="zh-CN"/>
        </w:rPr>
        <w:t>中华人民共和国食品安全</w:t>
      </w:r>
      <w:r>
        <w:rPr>
          <w:rFonts w:hint="eastAsia" w:ascii="仿宋_GB2312" w:hAnsi="仿宋_GB2312" w:eastAsia="仿宋_GB2312" w:cs="仿宋_GB2312"/>
          <w:kern w:val="0"/>
          <w:sz w:val="32"/>
          <w:szCs w:val="32"/>
        </w:rPr>
        <w:t>法》。负责全市政策性粮油收购、储存和流通环节的质量、卫生检测工作。依法组织开展粮油质量和卫生监督抽查与检测，粮食收购质量调查和品质测报工作。</w:t>
      </w:r>
    </w:p>
    <w:p>
      <w:pPr>
        <w:widowControl/>
        <w:shd w:val="clear" w:color="auto" w:fill="FFFFFF"/>
        <w:spacing w:line="560" w:lineRule="exact"/>
        <w:ind w:firstLine="64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（2）为确保广大消费者吃上安全、放心的粮油食品，坚持质量第一的原则，承担储备粮的质量定期检查、市场粮油产品的质量监管、监测、原粮卫生调查和品质测报以及粮食交易的公平性认证。</w:t>
      </w:r>
    </w:p>
    <w:p>
      <w:pPr>
        <w:keepNext/>
        <w:keepLines/>
        <w:spacing w:line="580" w:lineRule="exact"/>
        <w:ind w:firstLine="640" w:firstLineChars="200"/>
        <w:jc w:val="left"/>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（3）推行全面质量管理的方针，为地方政府和执法监督部门加强粮油产品质量管理，提供粮油产品准确、公正、权威的检测数据服务。</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 xml:space="preserve">从决算编报单位构成看，纳入2021年度本部门决算汇编范围的独立核算单位（以下简称“单位”）共 </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个，具体情况如下：</w:t>
      </w:r>
    </w:p>
    <w:tbl>
      <w:tblPr>
        <w:tblStyle w:val="7"/>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939"/>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939"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171"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vAlign w:val="center"/>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 Black"/>
                <w:kern w:val="0"/>
                <w:sz w:val="28"/>
                <w:szCs w:val="28"/>
                <w:lang w:val="en-US" w:eastAsia="zh-CN"/>
              </w:rPr>
              <w:t>承德市粮油质量检测中心</w:t>
            </w:r>
          </w:p>
        </w:tc>
        <w:tc>
          <w:tcPr>
            <w:tcW w:w="2939" w:type="dxa"/>
            <w:vAlign w:val="center"/>
          </w:tcPr>
          <w:p>
            <w:pPr>
              <w:spacing w:line="560" w:lineRule="exact"/>
              <w:jc w:val="center"/>
              <w:rPr>
                <w:rFonts w:ascii="仿宋_GB2312" w:hAnsi="Calibri" w:eastAsia="仿宋_GB2312" w:cs="ArialUnicodeMS"/>
                <w:kern w:val="0"/>
                <w:sz w:val="28"/>
                <w:szCs w:val="28"/>
              </w:rPr>
            </w:pPr>
            <w:r>
              <w:rPr>
                <w:rFonts w:hint="eastAsia" w:ascii="仿宋_GB2312" w:eastAsia="仿宋_GB2312" w:cs="Arial Black"/>
                <w:kern w:val="0"/>
                <w:sz w:val="28"/>
                <w:szCs w:val="28"/>
              </w:rPr>
              <w:t>财政补助事业单位</w:t>
            </w:r>
          </w:p>
        </w:tc>
        <w:tc>
          <w:tcPr>
            <w:tcW w:w="2171" w:type="dxa"/>
            <w:vAlign w:val="center"/>
          </w:tcPr>
          <w:p>
            <w:pPr>
              <w:spacing w:line="560" w:lineRule="exact"/>
              <w:jc w:val="center"/>
              <w:rPr>
                <w:rFonts w:ascii="仿宋_GB2312" w:hAnsi="Calibri" w:eastAsia="仿宋_GB2312" w:cs="ArialUnicodeMS"/>
                <w:kern w:val="0"/>
                <w:sz w:val="28"/>
                <w:szCs w:val="28"/>
                <w:highlight w:val="green"/>
              </w:rPr>
            </w:pPr>
            <w:r>
              <w:rPr>
                <w:rFonts w:hint="eastAsia" w:ascii="仿宋_GB2312" w:hAnsi="Calibri" w:eastAsia="仿宋_GB2312" w:cs="ArialUnicodeMS"/>
                <w:kern w:val="0"/>
                <w:sz w:val="28"/>
                <w:szCs w:val="28"/>
                <w:highlight w:val="none"/>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4" w:hRule="atLeast"/>
          <w:jc w:val="center"/>
        </w:trPr>
        <w:tc>
          <w:tcPr>
            <w:tcW w:w="9580" w:type="dxa"/>
            <w:gridSpan w:val="4"/>
            <w:tcBorders>
              <w:top w:val="single" w:color="auto" w:sz="4" w:space="0"/>
              <w:left w:val="nil"/>
              <w:bottom w:val="nil"/>
              <w:right w:val="nil"/>
            </w:tcBorders>
          </w:tcPr>
          <w:p>
            <w:pPr>
              <w:spacing w:line="560" w:lineRule="exact"/>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注：1、单位基本性质分为行政单位、参公事业单位、财政补助事业单位、经费自理事业单位四类。</w:t>
            </w:r>
          </w:p>
          <w:p>
            <w:pPr>
              <w:spacing w:line="560" w:lineRule="exact"/>
              <w:ind w:firstLine="560" w:firstLineChars="200"/>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2、经费形式分为财政拨款、财政性资金基本保证、财政性资金定额或定项补助、财政性资金零补助四类。</w:t>
            </w: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1760" w:firstLineChars="4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spacing w:after="160" w:line="580" w:lineRule="exact"/>
        <w:ind w:firstLine="1280" w:firstLineChars="4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Times New Roman" w:hAnsi="Times New Roman" w:eastAsia="黑体" w:cs="Times New Roman"/>
          <w:sz w:val="32"/>
          <w:szCs w:val="32"/>
        </w:rPr>
        <w:drawing>
          <wp:anchor distT="0" distB="0" distL="114300" distR="114300" simplePos="0" relativeHeight="251667456" behindDoc="0" locked="0" layoutInCell="1" allowOverlap="1">
            <wp:simplePos x="0" y="0"/>
            <wp:positionH relativeFrom="column">
              <wp:posOffset>672465</wp:posOffset>
            </wp:positionH>
            <wp:positionV relativeFrom="margin">
              <wp:posOffset>1755140</wp:posOffset>
            </wp:positionV>
            <wp:extent cx="579120" cy="579120"/>
            <wp:effectExtent l="0" t="0" r="0" b="5080"/>
            <wp:wrapNone/>
            <wp:docPr id="70" name="图片 70" descr="32303235303832303b32303235353434303bcec4bcfeb1edb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32303235303832303b32303235353434303bcec4bcfeb1edb8f1"/>
                    <pic:cNvPicPr>
                      <a:picLocks noChangeAspect="1"/>
                    </pic:cNvPicPr>
                  </pic:nvPicPr>
                  <pic:blipFill>
                    <a:blip r:embed="rId12"/>
                    <a:stretch>
                      <a:fillRect/>
                    </a:stretch>
                  </pic:blipFill>
                  <pic:spPr>
                    <a:xfrm>
                      <a:off x="0" y="0"/>
                      <a:ext cx="579120" cy="579120"/>
                    </a:xfrm>
                    <a:prstGeom prst="rect">
                      <a:avLst/>
                    </a:prstGeom>
                  </pic:spPr>
                </pic:pic>
              </a:graphicData>
            </a:graphic>
          </wp:anchor>
        </w:drawing>
      </w:r>
    </w:p>
    <w:p>
      <w:pPr>
        <w:widowControl/>
        <w:spacing w:after="160" w:line="580" w:lineRule="exact"/>
        <w:ind w:firstLine="2200" w:firstLineChars="5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sectPr>
          <w:headerReference r:id="rId7" w:type="default"/>
          <w:pgSz w:w="11906" w:h="16838"/>
          <w:pgMar w:top="1841" w:right="1531" w:bottom="1774" w:left="1531" w:header="851" w:footer="992" w:gutter="0"/>
          <w:pgNumType w:fmt="numberInDash"/>
          <w:cols w:space="0" w:num="1"/>
          <w:titlePg/>
          <w:docGrid w:type="lines" w:linePitch="312" w:charSpace="0"/>
        </w:sect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第二部分  2021年度部门决算表</w:t>
      </w:r>
    </w:p>
    <w:tbl>
      <w:tblPr>
        <w:tblStyle w:val="6"/>
        <w:tblpPr w:leftFromText="180" w:rightFromText="180" w:vertAnchor="text" w:horzAnchor="page" w:tblpXSpec="center" w:tblpY="330"/>
        <w:tblOverlap w:val="never"/>
        <w:tblW w:w="9420" w:type="dxa"/>
        <w:jc w:val="center"/>
        <w:tblLayout w:type="fixed"/>
        <w:tblCellMar>
          <w:top w:w="0" w:type="dxa"/>
          <w:left w:w="0" w:type="dxa"/>
          <w:bottom w:w="0" w:type="dxa"/>
          <w:right w:w="0" w:type="dxa"/>
        </w:tblCellMar>
      </w:tblPr>
      <w:tblGrid>
        <w:gridCol w:w="3416"/>
        <w:gridCol w:w="508"/>
        <w:gridCol w:w="682"/>
        <w:gridCol w:w="3436"/>
        <w:gridCol w:w="534"/>
        <w:gridCol w:w="844"/>
      </w:tblGrid>
      <w:tr>
        <w:tblPrEx>
          <w:tblCellMar>
            <w:top w:w="0" w:type="dxa"/>
            <w:left w:w="0" w:type="dxa"/>
            <w:bottom w:w="0" w:type="dxa"/>
            <w:right w:w="0" w:type="dxa"/>
          </w:tblCellMar>
        </w:tblPrEx>
        <w:trPr>
          <w:trHeight w:val="165" w:hRule="atLeast"/>
          <w:jc w:val="center"/>
        </w:trPr>
        <w:tc>
          <w:tcPr>
            <w:tcW w:w="9420" w:type="dxa"/>
            <w:gridSpan w:val="6"/>
            <w:tcBorders>
              <w:top w:val="nil"/>
              <w:left w:val="nil"/>
              <w:bottom w:val="nil"/>
              <w:right w:val="nil"/>
            </w:tcBorders>
            <w:shd w:val="clear" w:color="auto" w:fill="auto"/>
            <w:tcMar>
              <w:top w:w="15" w:type="dxa"/>
              <w:left w:w="15" w:type="dxa"/>
              <w:right w:w="15" w:type="dxa"/>
            </w:tcMar>
            <w:vAlign w:val="bottom"/>
          </w:tcPr>
          <w:p>
            <w:pPr>
              <w:spacing w:line="400" w:lineRule="exact"/>
              <w:jc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收入支出决算总表</w:t>
            </w:r>
          </w:p>
        </w:tc>
      </w:tr>
      <w:tr>
        <w:tblPrEx>
          <w:tblCellMar>
            <w:top w:w="0" w:type="dxa"/>
            <w:left w:w="0" w:type="dxa"/>
            <w:bottom w:w="0" w:type="dxa"/>
            <w:right w:w="0" w:type="dxa"/>
          </w:tblCellMar>
        </w:tblPrEx>
        <w:trPr>
          <w:trHeight w:val="294" w:hRule="atLeast"/>
          <w:jc w:val="center"/>
        </w:trPr>
        <w:tc>
          <w:tcPr>
            <w:tcW w:w="341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p>
        </w:tc>
        <w:tc>
          <w:tcPr>
            <w:tcW w:w="50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p>
        </w:tc>
        <w:tc>
          <w:tcPr>
            <w:tcW w:w="68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p>
        </w:tc>
        <w:tc>
          <w:tcPr>
            <w:tcW w:w="4814"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公开01表</w:t>
            </w:r>
          </w:p>
        </w:tc>
      </w:tr>
      <w:tr>
        <w:tblPrEx>
          <w:tblCellMar>
            <w:top w:w="0" w:type="dxa"/>
            <w:left w:w="0" w:type="dxa"/>
            <w:bottom w:w="0" w:type="dxa"/>
            <w:right w:w="0" w:type="dxa"/>
          </w:tblCellMar>
        </w:tblPrEx>
        <w:trPr>
          <w:trHeight w:val="306" w:hRule="atLeast"/>
          <w:jc w:val="center"/>
        </w:trPr>
        <w:tc>
          <w:tcPr>
            <w:tcW w:w="4606" w:type="dxa"/>
            <w:gridSpan w:val="3"/>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r>
              <w:rPr>
                <w:rFonts w:hint="eastAsia" w:ascii="宋体" w:hAnsi="宋体" w:eastAsia="宋体" w:cs="宋体"/>
                <w:color w:val="000000"/>
                <w:kern w:val="0"/>
                <w:sz w:val="18"/>
                <w:szCs w:val="18"/>
                <w:lang w:eastAsia="zh-CN" w:bidi="ar"/>
              </w:rPr>
              <w:t>部门：承德市粮油质量检测中心</w:t>
            </w:r>
          </w:p>
        </w:tc>
        <w:tc>
          <w:tcPr>
            <w:tcW w:w="4814"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221" w:hRule="atLeast"/>
          <w:jc w:val="center"/>
        </w:trPr>
        <w:tc>
          <w:tcPr>
            <w:tcW w:w="46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收入</w:t>
            </w:r>
          </w:p>
        </w:tc>
        <w:tc>
          <w:tcPr>
            <w:tcW w:w="4814"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ascii="宋体" w:hAnsi="宋体" w:eastAsia="宋体" w:cs="宋体"/>
                <w:color w:val="000000"/>
                <w:szCs w:val="21"/>
              </w:rPr>
              <w:t>支出</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项目</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行次</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金额</w:t>
            </w: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项目</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行次</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金额</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栏次</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w:t>
            </w: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栏次</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一、一般公共预算财政拨款收入</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Cs w:val="21"/>
              </w:rPr>
            </w:pPr>
            <w:r>
              <w:rPr>
                <w:rFonts w:hint="eastAsia" w:ascii="宋体" w:hAnsi="宋体" w:eastAsia="宋体" w:cs="宋体"/>
                <w:i w:val="0"/>
                <w:color w:val="000000"/>
                <w:kern w:val="0"/>
                <w:sz w:val="20"/>
                <w:szCs w:val="20"/>
                <w:u w:val="none"/>
                <w:lang w:val="en-US" w:eastAsia="zh-CN" w:bidi="ar"/>
              </w:rPr>
              <w:t>151.20</w:t>
            </w: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一、一般公共服务支出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32</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r>
      <w:tr>
        <w:tblPrEx>
          <w:tblCellMar>
            <w:top w:w="0" w:type="dxa"/>
            <w:left w:w="0" w:type="dxa"/>
            <w:bottom w:w="0" w:type="dxa"/>
            <w:right w:w="0" w:type="dxa"/>
          </w:tblCellMar>
        </w:tblPrEx>
        <w:trPr>
          <w:trHeight w:val="353"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二、政府性基金预算财政拨款收入</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二、外交支出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33</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三、国有资本经营预算财政拨款收入</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三、国防支出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34</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四、上级补助收入</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四、公共安全支出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35</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五、事业收入</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五、教育支出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36</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六、经营收入</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6</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六、科学技术支出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37</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七、附属单位上缴收入</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7</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七、文化旅游体育与传媒支出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38</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八、其他收入</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8</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Cs w:val="21"/>
              </w:rPr>
            </w:pPr>
            <w:r>
              <w:rPr>
                <w:rFonts w:hint="eastAsia" w:ascii="宋体" w:hAnsi="宋体" w:eastAsia="宋体" w:cs="宋体"/>
                <w:i w:val="0"/>
                <w:color w:val="000000"/>
                <w:kern w:val="0"/>
                <w:sz w:val="20"/>
                <w:szCs w:val="20"/>
                <w:u w:val="none"/>
                <w:lang w:val="en-US" w:eastAsia="zh-CN" w:bidi="ar"/>
              </w:rPr>
              <w:t>1.37</w:t>
            </w: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八、社会保障和就业支出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39</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Cs w:val="21"/>
              </w:rPr>
            </w:pPr>
            <w:r>
              <w:rPr>
                <w:rFonts w:hint="eastAsia" w:ascii="宋体" w:hAnsi="宋体" w:eastAsia="宋体" w:cs="宋体"/>
                <w:i w:val="0"/>
                <w:color w:val="000000"/>
                <w:kern w:val="0"/>
                <w:sz w:val="20"/>
                <w:szCs w:val="20"/>
                <w:u w:val="none"/>
                <w:lang w:val="en-US" w:eastAsia="zh-CN" w:bidi="ar"/>
              </w:rPr>
              <w:t>14.38</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9</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九、卫生健康支出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40</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Cs w:val="21"/>
              </w:rPr>
            </w:pPr>
            <w:r>
              <w:rPr>
                <w:rFonts w:hint="eastAsia" w:ascii="宋体" w:hAnsi="宋体" w:eastAsia="宋体" w:cs="宋体"/>
                <w:i w:val="0"/>
                <w:color w:val="000000"/>
                <w:kern w:val="0"/>
                <w:sz w:val="20"/>
                <w:szCs w:val="20"/>
                <w:u w:val="none"/>
                <w:lang w:val="en-US" w:eastAsia="zh-CN" w:bidi="ar"/>
              </w:rPr>
              <w:t>0.47</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10</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十、节能环保支出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41</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11</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十一、城乡社区支出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42</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12</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十二、农林水支出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43</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13</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十三、交通运输支出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44</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14</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十四、资源勘探工业信息等支出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45</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15</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十五、商业服务业等支出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46</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16</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十六、金融支出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47</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17</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十七、援助其他地区支出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48</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18</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十八、自然资源海洋气象等支出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49</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19</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十九、住房保障支出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50</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Cs w:val="21"/>
              </w:rPr>
            </w:pPr>
            <w:r>
              <w:rPr>
                <w:rFonts w:hint="eastAsia" w:ascii="宋体" w:hAnsi="宋体" w:eastAsia="宋体" w:cs="宋体"/>
                <w:i w:val="0"/>
                <w:color w:val="000000"/>
                <w:kern w:val="0"/>
                <w:sz w:val="20"/>
                <w:szCs w:val="20"/>
                <w:u w:val="none"/>
                <w:lang w:val="en-US" w:eastAsia="zh-CN" w:bidi="ar"/>
              </w:rPr>
              <w:t>7.00</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20</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二十、粮油物资储备支出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51</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Cs w:val="21"/>
              </w:rPr>
            </w:pPr>
            <w:r>
              <w:rPr>
                <w:rFonts w:hint="eastAsia" w:ascii="宋体" w:hAnsi="宋体" w:eastAsia="宋体" w:cs="宋体"/>
                <w:i w:val="0"/>
                <w:color w:val="000000"/>
                <w:kern w:val="0"/>
                <w:sz w:val="20"/>
                <w:szCs w:val="20"/>
                <w:u w:val="none"/>
                <w:lang w:val="en-US" w:eastAsia="zh-CN" w:bidi="ar"/>
              </w:rPr>
              <w:t>99.18</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21</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二十一、国有资本经营预算支出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52</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lang w:bidi="ar"/>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rPr>
              <w:t>22</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kern w:val="0"/>
                <w:szCs w:val="21"/>
                <w:lang w:bidi="ar"/>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lang w:bidi="ar"/>
              </w:rPr>
            </w:pPr>
            <w:r>
              <w:rPr>
                <w:rFonts w:hint="eastAsia"/>
              </w:rPr>
              <w:t>二十二、灾害防治及应急管理支出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rPr>
              <w:t>53</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kern w:val="0"/>
                <w:szCs w:val="21"/>
                <w:lang w:bidi="ar"/>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23</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二十三、其他支出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54</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24</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二十四、债务还本支出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55</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25</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Cs w:val="21"/>
              </w:rPr>
            </w:pPr>
            <w:r>
              <w:rPr>
                <w:rFonts w:hint="eastAsia"/>
              </w:rPr>
              <w:t>二十五、债务付息支出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56</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26</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二十六、抗疫特别国债安排的支出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57</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本年收入合计</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27</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Cs w:val="21"/>
              </w:rPr>
            </w:pPr>
            <w:r>
              <w:rPr>
                <w:rFonts w:hint="eastAsia" w:ascii="宋体" w:hAnsi="宋体" w:eastAsia="宋体" w:cs="宋体"/>
                <w:i w:val="0"/>
                <w:color w:val="000000"/>
                <w:kern w:val="0"/>
                <w:sz w:val="20"/>
                <w:szCs w:val="20"/>
                <w:u w:val="none"/>
                <w:lang w:val="en-US" w:eastAsia="zh-CN" w:bidi="ar"/>
              </w:rPr>
              <w:t>152.57</w:t>
            </w: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本年支出合计</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58</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Cs w:val="21"/>
              </w:rPr>
            </w:pPr>
            <w:r>
              <w:rPr>
                <w:rFonts w:hint="eastAsia" w:ascii="宋体" w:hAnsi="宋体" w:eastAsia="宋体" w:cs="宋体"/>
                <w:i w:val="0"/>
                <w:color w:val="000000"/>
                <w:kern w:val="0"/>
                <w:sz w:val="20"/>
                <w:szCs w:val="20"/>
                <w:u w:val="none"/>
                <w:lang w:val="en-US" w:eastAsia="zh-CN" w:bidi="ar"/>
              </w:rPr>
              <w:t>121.03</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使用非财政拨款结余</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28</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结余分配</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59</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
                <w:color w:val="000000"/>
                <w:szCs w:val="21"/>
              </w:rPr>
            </w:pPr>
            <w:r>
              <w:rPr>
                <w:rFonts w:hint="eastAsia"/>
              </w:rPr>
              <w:t>年初结转和结余</w:t>
            </w:r>
          </w:p>
        </w:tc>
        <w:tc>
          <w:tcPr>
            <w:tcW w:w="508"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29</w:t>
            </w:r>
          </w:p>
        </w:tc>
        <w:tc>
          <w:tcPr>
            <w:tcW w:w="682"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Cs w:val="21"/>
              </w:rPr>
            </w:pPr>
            <w:r>
              <w:rPr>
                <w:rFonts w:hint="eastAsia" w:ascii="宋体" w:hAnsi="宋体" w:eastAsia="宋体" w:cs="宋体"/>
                <w:i w:val="0"/>
                <w:color w:val="000000"/>
                <w:kern w:val="0"/>
                <w:sz w:val="20"/>
                <w:szCs w:val="20"/>
                <w:u w:val="none"/>
                <w:lang w:val="en-US" w:eastAsia="zh-CN" w:bidi="ar"/>
              </w:rPr>
              <w:t>21.00</w:t>
            </w:r>
          </w:p>
        </w:tc>
        <w:tc>
          <w:tcPr>
            <w:tcW w:w="3436"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
                <w:color w:val="000000"/>
                <w:szCs w:val="21"/>
              </w:rPr>
            </w:pPr>
            <w:r>
              <w:rPr>
                <w:rFonts w:hint="eastAsia"/>
              </w:rPr>
              <w:t>年末结转和结余</w:t>
            </w:r>
          </w:p>
        </w:tc>
        <w:tc>
          <w:tcPr>
            <w:tcW w:w="534"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60</w:t>
            </w:r>
          </w:p>
        </w:tc>
        <w:tc>
          <w:tcPr>
            <w:tcW w:w="844"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Cs w:val="21"/>
              </w:rPr>
            </w:pPr>
            <w:r>
              <w:rPr>
                <w:rFonts w:hint="eastAsia" w:ascii="宋体" w:hAnsi="宋体" w:eastAsia="宋体" w:cs="宋体"/>
                <w:i w:val="0"/>
                <w:color w:val="000000"/>
                <w:kern w:val="0"/>
                <w:sz w:val="20"/>
                <w:szCs w:val="20"/>
                <w:u w:val="none"/>
                <w:lang w:val="en-US" w:eastAsia="zh-CN" w:bidi="ar"/>
              </w:rPr>
              <w:t>52.54</w:t>
            </w:r>
          </w:p>
        </w:tc>
      </w:tr>
      <w:tr>
        <w:tblPrEx>
          <w:tblCellMar>
            <w:top w:w="0" w:type="dxa"/>
            <w:left w:w="0" w:type="dxa"/>
            <w:bottom w:w="0" w:type="dxa"/>
            <w:right w:w="0" w:type="dxa"/>
          </w:tblCellMar>
        </w:tblPrEx>
        <w:trPr>
          <w:trHeight w:val="306" w:hRule="atLeast"/>
          <w:jc w:val="center"/>
        </w:trPr>
        <w:tc>
          <w:tcPr>
            <w:tcW w:w="34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p>
        </w:tc>
        <w:tc>
          <w:tcPr>
            <w:tcW w:w="5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r>
              <w:rPr>
                <w:rFonts w:hint="eastAsia"/>
              </w:rPr>
              <w:t>30</w:t>
            </w:r>
          </w:p>
        </w:tc>
        <w:tc>
          <w:tcPr>
            <w:tcW w:w="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4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p>
        </w:tc>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r>
              <w:rPr>
                <w:rFonts w:hint="eastAsia"/>
              </w:rPr>
              <w:t>61</w:t>
            </w:r>
          </w:p>
        </w:tc>
        <w:tc>
          <w:tcPr>
            <w:tcW w:w="8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r>
              <w:rPr>
                <w:rFonts w:hint="eastAsia"/>
              </w:rPr>
              <w:t>总计</w:t>
            </w:r>
          </w:p>
        </w:tc>
        <w:tc>
          <w:tcPr>
            <w:tcW w:w="5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r>
              <w:rPr>
                <w:rFonts w:hint="eastAsia"/>
              </w:rPr>
              <w:t>31</w:t>
            </w:r>
          </w:p>
        </w:tc>
        <w:tc>
          <w:tcPr>
            <w:tcW w:w="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Cs w:val="21"/>
              </w:rPr>
            </w:pPr>
            <w:r>
              <w:rPr>
                <w:rFonts w:hint="eastAsia" w:ascii="宋体" w:hAnsi="宋体" w:eastAsia="宋体" w:cs="宋体"/>
                <w:i w:val="0"/>
                <w:color w:val="000000"/>
                <w:kern w:val="0"/>
                <w:sz w:val="20"/>
                <w:szCs w:val="20"/>
                <w:u w:val="none"/>
                <w:lang w:val="en-US" w:eastAsia="zh-CN" w:bidi="ar"/>
              </w:rPr>
              <w:t>173.57</w:t>
            </w:r>
          </w:p>
        </w:tc>
        <w:tc>
          <w:tcPr>
            <w:tcW w:w="34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r>
              <w:rPr>
                <w:rFonts w:hint="eastAsia"/>
              </w:rPr>
              <w:t>总计</w:t>
            </w:r>
          </w:p>
        </w:tc>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r>
              <w:rPr>
                <w:rFonts w:hint="eastAsia"/>
              </w:rPr>
              <w:t>62</w:t>
            </w:r>
          </w:p>
        </w:tc>
        <w:tc>
          <w:tcPr>
            <w:tcW w:w="8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Cs w:val="21"/>
              </w:rPr>
            </w:pPr>
            <w:r>
              <w:rPr>
                <w:rFonts w:hint="eastAsia" w:ascii="宋体" w:hAnsi="宋体" w:eastAsia="宋体" w:cs="宋体"/>
                <w:i w:val="0"/>
                <w:color w:val="000000"/>
                <w:kern w:val="0"/>
                <w:sz w:val="20"/>
                <w:szCs w:val="20"/>
                <w:u w:val="none"/>
                <w:lang w:val="en-US" w:eastAsia="zh-CN" w:bidi="ar"/>
              </w:rPr>
              <w:t>173.57</w:t>
            </w:r>
          </w:p>
        </w:tc>
      </w:tr>
      <w:tr>
        <w:tblPrEx>
          <w:tblCellMar>
            <w:top w:w="0" w:type="dxa"/>
            <w:left w:w="0" w:type="dxa"/>
            <w:bottom w:w="0" w:type="dxa"/>
            <w:right w:w="0" w:type="dxa"/>
          </w:tblCellMar>
        </w:tblPrEx>
        <w:trPr>
          <w:trHeight w:val="306" w:hRule="atLeast"/>
          <w:jc w:val="center"/>
        </w:trPr>
        <w:tc>
          <w:tcPr>
            <w:tcW w:w="9420" w:type="dxa"/>
            <w:gridSpan w:val="6"/>
            <w:tcBorders>
              <w:top w:val="single" w:color="auto" w:sz="4" w:space="0"/>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lang w:bidi="ar"/>
              </w:rPr>
            </w:pPr>
            <w:r>
              <w:rPr>
                <w:rFonts w:hint="eastAsia"/>
                <w:sz w:val="20"/>
                <w:szCs w:val="20"/>
              </w:rPr>
              <w:t>注：本表反映部门（或单位）本年度的总收支和年末结转结余情况。本套报表金额单位转换时可能存在尾数误差。</w:t>
            </w:r>
          </w:p>
        </w:tc>
      </w:tr>
    </w:tbl>
    <w:p>
      <w:pPr>
        <w:widowControl/>
        <w:jc w:val="left"/>
        <w:textAlignment w:val="center"/>
        <w:rPr>
          <w:sz w:val="20"/>
          <w:szCs w:val="20"/>
        </w:rPr>
      </w:pPr>
      <w:r>
        <w:rPr>
          <w:rFonts w:hint="eastAsia"/>
          <w:sz w:val="20"/>
          <w:szCs w:val="20"/>
        </w:rPr>
        <w:br w:type="page"/>
      </w:r>
    </w:p>
    <w:tbl>
      <w:tblPr>
        <w:tblStyle w:val="6"/>
        <w:tblW w:w="9582" w:type="dxa"/>
        <w:jc w:val="center"/>
        <w:tblLayout w:type="fixed"/>
        <w:tblCellMar>
          <w:top w:w="0" w:type="dxa"/>
          <w:left w:w="0" w:type="dxa"/>
          <w:bottom w:w="0" w:type="dxa"/>
          <w:right w:w="0" w:type="dxa"/>
        </w:tblCellMar>
      </w:tblPr>
      <w:tblGrid>
        <w:gridCol w:w="1349"/>
        <w:gridCol w:w="2463"/>
        <w:gridCol w:w="824"/>
        <w:gridCol w:w="824"/>
        <w:gridCol w:w="824"/>
        <w:gridCol w:w="824"/>
        <w:gridCol w:w="824"/>
        <w:gridCol w:w="824"/>
        <w:gridCol w:w="826"/>
      </w:tblGrid>
      <w:tr>
        <w:tblPrEx>
          <w:tblCellMar>
            <w:top w:w="0" w:type="dxa"/>
            <w:left w:w="0" w:type="dxa"/>
            <w:bottom w:w="0" w:type="dxa"/>
            <w:right w:w="0" w:type="dxa"/>
          </w:tblCellMar>
        </w:tblPrEx>
        <w:trPr>
          <w:trHeight w:val="670" w:hRule="atLeast"/>
          <w:jc w:val="center"/>
        </w:trPr>
        <w:tc>
          <w:tcPr>
            <w:tcW w:w="9582" w:type="dxa"/>
            <w:gridSpan w:val="9"/>
            <w:tcBorders>
              <w:top w:val="nil"/>
              <w:left w:val="nil"/>
              <w:bottom w:val="nil"/>
              <w:right w:val="nil"/>
            </w:tcBorders>
            <w:shd w:val="clear" w:color="auto" w:fill="auto"/>
            <w:tcMar>
              <w:top w:w="15" w:type="dxa"/>
              <w:left w:w="15" w:type="dxa"/>
              <w:right w:w="15" w:type="dxa"/>
            </w:tcMar>
            <w:vAlign w:val="bottom"/>
          </w:tcPr>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lang w:bidi="ar"/>
              </w:rPr>
              <w:t>收入决算表</w:t>
            </w:r>
          </w:p>
        </w:tc>
      </w:tr>
      <w:tr>
        <w:tblPrEx>
          <w:tblCellMar>
            <w:top w:w="0" w:type="dxa"/>
            <w:left w:w="0" w:type="dxa"/>
            <w:bottom w:w="0" w:type="dxa"/>
            <w:right w:w="0" w:type="dxa"/>
          </w:tblCellMar>
        </w:tblPrEx>
        <w:trPr>
          <w:trHeight w:val="357" w:hRule="atLeast"/>
          <w:jc w:val="center"/>
        </w:trPr>
        <w:tc>
          <w:tcPr>
            <w:tcW w:w="4636" w:type="dxa"/>
            <w:gridSpan w:val="3"/>
            <w:vMerge w:val="restart"/>
            <w:tcBorders>
              <w:top w:val="nil"/>
              <w:left w:val="nil"/>
              <w:right w:val="nil"/>
            </w:tcBorders>
            <w:shd w:val="clear" w:color="auto" w:fill="auto"/>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eastAsia="zh-CN" w:bidi="ar"/>
              </w:rPr>
              <w:t>部门：承德市粮油质量检测中心</w:t>
            </w:r>
          </w:p>
        </w:tc>
        <w:tc>
          <w:tcPr>
            <w:tcW w:w="82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82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82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82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650"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0" w:type="dxa"/>
            <w:left w:w="0" w:type="dxa"/>
            <w:bottom w:w="0" w:type="dxa"/>
            <w:right w:w="0" w:type="dxa"/>
          </w:tblCellMar>
        </w:tblPrEx>
        <w:trPr>
          <w:trHeight w:val="357" w:hRule="atLeast"/>
          <w:jc w:val="center"/>
        </w:trPr>
        <w:tc>
          <w:tcPr>
            <w:tcW w:w="4636" w:type="dxa"/>
            <w:gridSpan w:val="3"/>
            <w:vMerge w:val="continue"/>
            <w:tcBorders>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82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82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82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474"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85" w:hRule="atLeast"/>
          <w:jc w:val="center"/>
        </w:trPr>
        <w:tc>
          <w:tcPr>
            <w:tcW w:w="3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82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本年收入合计</w:t>
            </w:r>
          </w:p>
        </w:tc>
        <w:tc>
          <w:tcPr>
            <w:tcW w:w="82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财政拨款收入</w:t>
            </w:r>
          </w:p>
        </w:tc>
        <w:tc>
          <w:tcPr>
            <w:tcW w:w="82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上级补助收入</w:t>
            </w:r>
          </w:p>
        </w:tc>
        <w:tc>
          <w:tcPr>
            <w:tcW w:w="82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事业收入</w:t>
            </w:r>
          </w:p>
        </w:tc>
        <w:tc>
          <w:tcPr>
            <w:tcW w:w="82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经营收入</w:t>
            </w:r>
          </w:p>
        </w:tc>
        <w:tc>
          <w:tcPr>
            <w:tcW w:w="82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附属单位上缴收入</w:t>
            </w:r>
          </w:p>
        </w:tc>
        <w:tc>
          <w:tcPr>
            <w:tcW w:w="82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其他收入</w:t>
            </w:r>
          </w:p>
        </w:tc>
      </w:tr>
      <w:tr>
        <w:tblPrEx>
          <w:tblCellMar>
            <w:top w:w="0" w:type="dxa"/>
            <w:left w:w="0" w:type="dxa"/>
            <w:bottom w:w="0" w:type="dxa"/>
            <w:right w:w="0" w:type="dxa"/>
          </w:tblCellMar>
        </w:tblPrEx>
        <w:trPr>
          <w:trHeight w:val="380" w:hRule="atLeast"/>
          <w:jc w:val="center"/>
        </w:trPr>
        <w:tc>
          <w:tcPr>
            <w:tcW w:w="134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24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82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34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4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34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4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381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r>
      <w:tr>
        <w:tblPrEx>
          <w:tblCellMar>
            <w:top w:w="0" w:type="dxa"/>
            <w:left w:w="0" w:type="dxa"/>
            <w:bottom w:w="0" w:type="dxa"/>
            <w:right w:w="0" w:type="dxa"/>
          </w:tblCellMar>
        </w:tblPrEx>
        <w:trPr>
          <w:trHeight w:val="385" w:hRule="atLeast"/>
          <w:jc w:val="center"/>
        </w:trPr>
        <w:tc>
          <w:tcPr>
            <w:tcW w:w="381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0"/>
                <w:szCs w:val="20"/>
                <w:u w:val="none"/>
                <w:lang w:val="en-US" w:eastAsia="zh-CN" w:bidi="ar"/>
              </w:rPr>
              <w:t>152.57</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0"/>
                <w:szCs w:val="20"/>
                <w:u w:val="none"/>
                <w:lang w:val="en-US" w:eastAsia="zh-CN" w:bidi="ar"/>
              </w:rPr>
              <w:t>151.20</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0"/>
                <w:szCs w:val="20"/>
                <w:u w:val="none"/>
                <w:lang w:val="en-US" w:eastAsia="zh-CN" w:bidi="ar"/>
              </w:rPr>
              <w:t>1.37</w:t>
            </w:r>
          </w:p>
        </w:tc>
      </w:tr>
      <w:tr>
        <w:tblPrEx>
          <w:tblCellMar>
            <w:top w:w="0" w:type="dxa"/>
            <w:left w:w="0" w:type="dxa"/>
            <w:bottom w:w="0" w:type="dxa"/>
            <w:right w:w="0" w:type="dxa"/>
          </w:tblCellMar>
        </w:tblPrEx>
        <w:trPr>
          <w:trHeight w:val="385" w:hRule="atLeast"/>
          <w:jc w:val="center"/>
        </w:trPr>
        <w:tc>
          <w:tcPr>
            <w:tcW w:w="13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208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社会保障和就业支出</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32.39</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32.39</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3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20805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行政事业单位养老支出</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32.39</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32.39</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3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2080501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 xml:space="preserve">  行政单位离退休</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10.09</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10.09</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3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2080502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 xml:space="preserve">  事业单位离退休</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12.59</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12.59</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3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2080505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9.71</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9.71</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3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210</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卫生健康支出</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0.60</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0.60</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3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21011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行政事业单位医疗</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0.60</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0.60</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3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2101102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 xml:space="preserve">  事业单位医疗</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0.60</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0.60</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3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221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住房保障支出</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7.28</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7.28</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3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22102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住房改革支出</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7.28</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7.28</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3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2210201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 xml:space="preserve">  住房公积金</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7.28</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7.28</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3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222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粮油物资储备支出</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112.30</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110.94</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1.37</w:t>
            </w:r>
          </w:p>
        </w:tc>
      </w:tr>
      <w:tr>
        <w:tblPrEx>
          <w:tblCellMar>
            <w:top w:w="0" w:type="dxa"/>
            <w:left w:w="0" w:type="dxa"/>
            <w:bottom w:w="0" w:type="dxa"/>
            <w:right w:w="0" w:type="dxa"/>
          </w:tblCellMar>
        </w:tblPrEx>
        <w:trPr>
          <w:trHeight w:val="385" w:hRule="atLeast"/>
          <w:jc w:val="center"/>
        </w:trPr>
        <w:tc>
          <w:tcPr>
            <w:tcW w:w="13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22201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粮油事务</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112.30</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110.94</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1.37</w:t>
            </w:r>
          </w:p>
        </w:tc>
      </w:tr>
      <w:tr>
        <w:tblPrEx>
          <w:tblCellMar>
            <w:top w:w="0" w:type="dxa"/>
            <w:left w:w="0" w:type="dxa"/>
            <w:bottom w:w="0" w:type="dxa"/>
            <w:right w:w="0" w:type="dxa"/>
          </w:tblCellMar>
        </w:tblPrEx>
        <w:trPr>
          <w:trHeight w:val="385" w:hRule="atLeast"/>
          <w:jc w:val="center"/>
        </w:trPr>
        <w:tc>
          <w:tcPr>
            <w:tcW w:w="13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2220106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 xml:space="preserve">  粮食专项业务活动</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26.37</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25.00</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1.37</w:t>
            </w:r>
          </w:p>
        </w:tc>
      </w:tr>
      <w:tr>
        <w:tblPrEx>
          <w:tblCellMar>
            <w:top w:w="0" w:type="dxa"/>
            <w:left w:w="0" w:type="dxa"/>
            <w:bottom w:w="0" w:type="dxa"/>
            <w:right w:w="0" w:type="dxa"/>
          </w:tblCellMar>
        </w:tblPrEx>
        <w:trPr>
          <w:trHeight w:val="385" w:hRule="atLeast"/>
          <w:jc w:val="center"/>
        </w:trPr>
        <w:tc>
          <w:tcPr>
            <w:tcW w:w="13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2220150</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事业运行</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85.94</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85.94</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385" w:hRule="atLeast"/>
          <w:jc w:val="center"/>
        </w:trPr>
        <w:tc>
          <w:tcPr>
            <w:tcW w:w="9582" w:type="dxa"/>
            <w:gridSpan w:val="9"/>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注：本表反映部门(或单位)本年度取得的各项收入情况。</w:t>
            </w:r>
          </w:p>
        </w:tc>
      </w:tr>
    </w:tbl>
    <w:p>
      <w:r>
        <w:br w:type="page"/>
      </w:r>
    </w:p>
    <w:tbl>
      <w:tblPr>
        <w:tblStyle w:val="6"/>
        <w:tblW w:w="9680" w:type="dxa"/>
        <w:jc w:val="center"/>
        <w:tblLayout w:type="fixed"/>
        <w:tblCellMar>
          <w:top w:w="0" w:type="dxa"/>
          <w:left w:w="0" w:type="dxa"/>
          <w:bottom w:w="0" w:type="dxa"/>
          <w:right w:w="0" w:type="dxa"/>
        </w:tblCellMar>
      </w:tblPr>
      <w:tblGrid>
        <w:gridCol w:w="941"/>
        <w:gridCol w:w="53"/>
        <w:gridCol w:w="240"/>
        <w:gridCol w:w="2084"/>
        <w:gridCol w:w="1020"/>
        <w:gridCol w:w="1140"/>
        <w:gridCol w:w="1005"/>
        <w:gridCol w:w="1050"/>
        <w:gridCol w:w="1050"/>
        <w:gridCol w:w="1097"/>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4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08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02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4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00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05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05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097" w:type="dxa"/>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CellMar>
            <w:top w:w="0" w:type="dxa"/>
            <w:left w:w="0" w:type="dxa"/>
            <w:bottom w:w="0" w:type="dxa"/>
            <w:right w:w="0" w:type="dxa"/>
          </w:tblCellMar>
        </w:tblPrEx>
        <w:trPr>
          <w:trHeight w:val="313" w:hRule="atLeast"/>
          <w:jc w:val="center"/>
        </w:trPr>
        <w:tc>
          <w:tcPr>
            <w:tcW w:w="6483" w:type="dxa"/>
            <w:gridSpan w:val="7"/>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eastAsia="zh-CN" w:bidi="ar"/>
              </w:rPr>
              <w:t>部门：承德市粮油质量检测中心</w:t>
            </w:r>
          </w:p>
        </w:tc>
        <w:tc>
          <w:tcPr>
            <w:tcW w:w="105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147"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23" w:hRule="atLeast"/>
          <w:jc w:val="center"/>
        </w:trPr>
        <w:tc>
          <w:tcPr>
            <w:tcW w:w="331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02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本年支出合计</w:t>
            </w:r>
          </w:p>
        </w:tc>
        <w:tc>
          <w:tcPr>
            <w:tcW w:w="114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00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10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上缴上级支出</w:t>
            </w:r>
          </w:p>
        </w:tc>
        <w:tc>
          <w:tcPr>
            <w:tcW w:w="10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经营支出</w:t>
            </w:r>
          </w:p>
        </w:tc>
        <w:tc>
          <w:tcPr>
            <w:tcW w:w="109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对附属单位补助支出</w:t>
            </w:r>
          </w:p>
        </w:tc>
      </w:tr>
      <w:tr>
        <w:tblPrEx>
          <w:tblCellMar>
            <w:top w:w="0" w:type="dxa"/>
            <w:left w:w="0" w:type="dxa"/>
            <w:bottom w:w="0" w:type="dxa"/>
            <w:right w:w="0" w:type="dxa"/>
          </w:tblCellMar>
        </w:tblPrEx>
        <w:trPr>
          <w:trHeight w:val="319" w:hRule="atLeast"/>
          <w:jc w:val="center"/>
        </w:trPr>
        <w:tc>
          <w:tcPr>
            <w:tcW w:w="1234"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208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0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9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23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08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9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23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08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9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331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0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1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0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0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CellMar>
            <w:top w:w="0" w:type="dxa"/>
            <w:left w:w="0" w:type="dxa"/>
            <w:bottom w:w="0" w:type="dxa"/>
            <w:right w:w="0" w:type="dxa"/>
          </w:tblCellMar>
        </w:tblPrEx>
        <w:trPr>
          <w:trHeight w:val="323" w:hRule="atLeast"/>
          <w:jc w:val="center"/>
        </w:trPr>
        <w:tc>
          <w:tcPr>
            <w:tcW w:w="331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0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0"/>
                <w:szCs w:val="20"/>
                <w:u w:val="none"/>
                <w:lang w:val="en-US" w:eastAsia="zh-CN" w:bidi="ar"/>
              </w:rPr>
              <w:t>121.03</w:t>
            </w:r>
          </w:p>
        </w:tc>
        <w:tc>
          <w:tcPr>
            <w:tcW w:w="11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0"/>
                <w:szCs w:val="20"/>
                <w:u w:val="none"/>
                <w:lang w:val="en-US" w:eastAsia="zh-CN" w:bidi="ar"/>
              </w:rPr>
              <w:t>96.01</w:t>
            </w:r>
          </w:p>
        </w:tc>
        <w:tc>
          <w:tcPr>
            <w:tcW w:w="10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0"/>
                <w:szCs w:val="20"/>
                <w:u w:val="none"/>
                <w:lang w:val="en-US" w:eastAsia="zh-CN" w:bidi="ar"/>
              </w:rPr>
              <w:t>25.03</w:t>
            </w: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0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208</w:t>
            </w:r>
          </w:p>
        </w:tc>
        <w:tc>
          <w:tcPr>
            <w:tcW w:w="2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社会保障和就业支出</w:t>
            </w:r>
          </w:p>
        </w:tc>
        <w:tc>
          <w:tcPr>
            <w:tcW w:w="10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14.38</w:t>
            </w:r>
          </w:p>
        </w:tc>
        <w:tc>
          <w:tcPr>
            <w:tcW w:w="11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14.38</w:t>
            </w:r>
          </w:p>
        </w:tc>
        <w:tc>
          <w:tcPr>
            <w:tcW w:w="10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20805</w:t>
            </w:r>
          </w:p>
        </w:tc>
        <w:tc>
          <w:tcPr>
            <w:tcW w:w="2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行政事业单位养老支出</w:t>
            </w:r>
          </w:p>
        </w:tc>
        <w:tc>
          <w:tcPr>
            <w:tcW w:w="10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14.38</w:t>
            </w:r>
          </w:p>
        </w:tc>
        <w:tc>
          <w:tcPr>
            <w:tcW w:w="11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14.38</w:t>
            </w:r>
          </w:p>
        </w:tc>
        <w:tc>
          <w:tcPr>
            <w:tcW w:w="10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2080502</w:t>
            </w:r>
          </w:p>
        </w:tc>
        <w:tc>
          <w:tcPr>
            <w:tcW w:w="2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 xml:space="preserve">  事业单位离退休</w:t>
            </w:r>
          </w:p>
        </w:tc>
        <w:tc>
          <w:tcPr>
            <w:tcW w:w="10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5.28</w:t>
            </w:r>
          </w:p>
        </w:tc>
        <w:tc>
          <w:tcPr>
            <w:tcW w:w="11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5.28</w:t>
            </w:r>
          </w:p>
        </w:tc>
        <w:tc>
          <w:tcPr>
            <w:tcW w:w="10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2080505</w:t>
            </w:r>
          </w:p>
        </w:tc>
        <w:tc>
          <w:tcPr>
            <w:tcW w:w="2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10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9.10</w:t>
            </w:r>
          </w:p>
        </w:tc>
        <w:tc>
          <w:tcPr>
            <w:tcW w:w="11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9.10</w:t>
            </w:r>
          </w:p>
        </w:tc>
        <w:tc>
          <w:tcPr>
            <w:tcW w:w="10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210</w:t>
            </w:r>
          </w:p>
        </w:tc>
        <w:tc>
          <w:tcPr>
            <w:tcW w:w="2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卫生健康支出</w:t>
            </w:r>
          </w:p>
        </w:tc>
        <w:tc>
          <w:tcPr>
            <w:tcW w:w="10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0.47</w:t>
            </w:r>
          </w:p>
        </w:tc>
        <w:tc>
          <w:tcPr>
            <w:tcW w:w="11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0.47</w:t>
            </w:r>
          </w:p>
        </w:tc>
        <w:tc>
          <w:tcPr>
            <w:tcW w:w="10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21011</w:t>
            </w:r>
          </w:p>
        </w:tc>
        <w:tc>
          <w:tcPr>
            <w:tcW w:w="2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行政事业单位医疗</w:t>
            </w:r>
          </w:p>
        </w:tc>
        <w:tc>
          <w:tcPr>
            <w:tcW w:w="10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0.47</w:t>
            </w:r>
          </w:p>
        </w:tc>
        <w:tc>
          <w:tcPr>
            <w:tcW w:w="11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0.47</w:t>
            </w:r>
          </w:p>
        </w:tc>
        <w:tc>
          <w:tcPr>
            <w:tcW w:w="10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2101102</w:t>
            </w:r>
          </w:p>
        </w:tc>
        <w:tc>
          <w:tcPr>
            <w:tcW w:w="2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 xml:space="preserve">  事业单位医疗</w:t>
            </w:r>
          </w:p>
        </w:tc>
        <w:tc>
          <w:tcPr>
            <w:tcW w:w="10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0.47</w:t>
            </w:r>
          </w:p>
        </w:tc>
        <w:tc>
          <w:tcPr>
            <w:tcW w:w="11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0.47</w:t>
            </w:r>
          </w:p>
        </w:tc>
        <w:tc>
          <w:tcPr>
            <w:tcW w:w="10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221</w:t>
            </w:r>
          </w:p>
        </w:tc>
        <w:tc>
          <w:tcPr>
            <w:tcW w:w="2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住房保障支出</w:t>
            </w:r>
          </w:p>
        </w:tc>
        <w:tc>
          <w:tcPr>
            <w:tcW w:w="10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7.00</w:t>
            </w:r>
          </w:p>
        </w:tc>
        <w:tc>
          <w:tcPr>
            <w:tcW w:w="11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7.00</w:t>
            </w:r>
          </w:p>
        </w:tc>
        <w:tc>
          <w:tcPr>
            <w:tcW w:w="10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22102</w:t>
            </w:r>
          </w:p>
        </w:tc>
        <w:tc>
          <w:tcPr>
            <w:tcW w:w="2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住房改革支出</w:t>
            </w:r>
          </w:p>
        </w:tc>
        <w:tc>
          <w:tcPr>
            <w:tcW w:w="10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7.00</w:t>
            </w:r>
          </w:p>
        </w:tc>
        <w:tc>
          <w:tcPr>
            <w:tcW w:w="11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7.00</w:t>
            </w:r>
          </w:p>
        </w:tc>
        <w:tc>
          <w:tcPr>
            <w:tcW w:w="10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2210201</w:t>
            </w:r>
          </w:p>
        </w:tc>
        <w:tc>
          <w:tcPr>
            <w:tcW w:w="2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 xml:space="preserve">  住房公积金</w:t>
            </w:r>
          </w:p>
        </w:tc>
        <w:tc>
          <w:tcPr>
            <w:tcW w:w="10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7.00</w:t>
            </w:r>
          </w:p>
        </w:tc>
        <w:tc>
          <w:tcPr>
            <w:tcW w:w="11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7.00</w:t>
            </w:r>
          </w:p>
        </w:tc>
        <w:tc>
          <w:tcPr>
            <w:tcW w:w="10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222</w:t>
            </w:r>
          </w:p>
        </w:tc>
        <w:tc>
          <w:tcPr>
            <w:tcW w:w="2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粮油物资储备支出</w:t>
            </w:r>
          </w:p>
        </w:tc>
        <w:tc>
          <w:tcPr>
            <w:tcW w:w="10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99.18</w:t>
            </w:r>
          </w:p>
        </w:tc>
        <w:tc>
          <w:tcPr>
            <w:tcW w:w="11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74.15</w:t>
            </w:r>
          </w:p>
        </w:tc>
        <w:tc>
          <w:tcPr>
            <w:tcW w:w="10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25.03</w:t>
            </w: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22201</w:t>
            </w:r>
          </w:p>
        </w:tc>
        <w:tc>
          <w:tcPr>
            <w:tcW w:w="2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粮油事务</w:t>
            </w:r>
          </w:p>
        </w:tc>
        <w:tc>
          <w:tcPr>
            <w:tcW w:w="10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99.18</w:t>
            </w:r>
          </w:p>
        </w:tc>
        <w:tc>
          <w:tcPr>
            <w:tcW w:w="11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74.15</w:t>
            </w:r>
          </w:p>
        </w:tc>
        <w:tc>
          <w:tcPr>
            <w:tcW w:w="10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25.03</w:t>
            </w: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2220106</w:t>
            </w:r>
          </w:p>
        </w:tc>
        <w:tc>
          <w:tcPr>
            <w:tcW w:w="2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 xml:space="preserve">  粮食专项业务活动</w:t>
            </w:r>
          </w:p>
        </w:tc>
        <w:tc>
          <w:tcPr>
            <w:tcW w:w="10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25.03</w:t>
            </w:r>
          </w:p>
        </w:tc>
        <w:tc>
          <w:tcPr>
            <w:tcW w:w="11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25.03</w:t>
            </w: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2220150</w:t>
            </w:r>
          </w:p>
        </w:tc>
        <w:tc>
          <w:tcPr>
            <w:tcW w:w="2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 xml:space="preserve">  事业运行</w:t>
            </w:r>
          </w:p>
        </w:tc>
        <w:tc>
          <w:tcPr>
            <w:tcW w:w="10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74.15</w:t>
            </w:r>
          </w:p>
        </w:tc>
        <w:tc>
          <w:tcPr>
            <w:tcW w:w="11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74.15</w:t>
            </w:r>
          </w:p>
        </w:tc>
        <w:tc>
          <w:tcPr>
            <w:tcW w:w="10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注：本表反映部门（或单位）本年度各项支出情况。</w:t>
            </w:r>
          </w:p>
        </w:tc>
      </w:tr>
    </w:tbl>
    <w:p>
      <w:r>
        <w:br w:type="page"/>
      </w:r>
    </w:p>
    <w:tbl>
      <w:tblPr>
        <w:tblStyle w:val="6"/>
        <w:tblW w:w="11146" w:type="dxa"/>
        <w:jc w:val="center"/>
        <w:tblLayout w:type="fixed"/>
        <w:tblCellMar>
          <w:top w:w="0" w:type="dxa"/>
          <w:left w:w="0" w:type="dxa"/>
          <w:bottom w:w="0" w:type="dxa"/>
          <w:right w:w="0" w:type="dxa"/>
        </w:tblCellMar>
      </w:tblPr>
      <w:tblGrid>
        <w:gridCol w:w="2941"/>
        <w:gridCol w:w="615"/>
        <w:gridCol w:w="787"/>
        <w:gridCol w:w="3409"/>
        <w:gridCol w:w="505"/>
        <w:gridCol w:w="699"/>
        <w:gridCol w:w="705"/>
        <w:gridCol w:w="750"/>
        <w:gridCol w:w="735"/>
      </w:tblGrid>
      <w:tr>
        <w:tblPrEx>
          <w:tblCellMar>
            <w:top w:w="0" w:type="dxa"/>
            <w:left w:w="0" w:type="dxa"/>
            <w:bottom w:w="0" w:type="dxa"/>
            <w:right w:w="0" w:type="dxa"/>
          </w:tblCellMar>
        </w:tblPrEx>
        <w:trPr>
          <w:trHeight w:val="306" w:hRule="atLeast"/>
          <w:jc w:val="center"/>
        </w:trPr>
        <w:tc>
          <w:tcPr>
            <w:tcW w:w="11146" w:type="dxa"/>
            <w:gridSpan w:val="9"/>
            <w:tcBorders>
              <w:top w:val="nil"/>
              <w:left w:val="nil"/>
              <w:bottom w:val="nil"/>
              <w:right w:val="nil"/>
            </w:tcBorders>
            <w:shd w:val="clear" w:color="auto" w:fill="auto"/>
            <w:tcMar>
              <w:top w:w="15" w:type="dxa"/>
              <w:left w:w="15" w:type="dxa"/>
              <w:right w:w="15" w:type="dxa"/>
            </w:tcMar>
            <w:vAlign w:val="bottom"/>
          </w:tcPr>
          <w:p>
            <w:pPr>
              <w:snapToGrid w:val="0"/>
              <w:spacing w:line="200" w:lineRule="atLeast"/>
              <w:jc w:val="center"/>
              <w:rPr>
                <w:rFonts w:ascii="黑体" w:hAnsi="宋体" w:eastAsia="黑体" w:cs="黑体"/>
                <w:color w:val="000000"/>
                <w:kern w:val="0"/>
                <w:sz w:val="32"/>
                <w:szCs w:val="32"/>
                <w:lang w:bidi="ar"/>
              </w:rPr>
            </w:pPr>
            <w:r>
              <w:rPr>
                <w:rFonts w:hint="eastAsia" w:ascii="黑体" w:hAnsi="宋体" w:eastAsia="黑体" w:cs="黑体"/>
                <w:color w:val="000000"/>
                <w:kern w:val="0"/>
                <w:sz w:val="32"/>
                <w:szCs w:val="32"/>
                <w:lang w:bidi="ar"/>
              </w:rPr>
              <w:t>财政拨款收入支出决算总表</w:t>
            </w:r>
          </w:p>
        </w:tc>
      </w:tr>
      <w:tr>
        <w:tblPrEx>
          <w:tblCellMar>
            <w:top w:w="0" w:type="dxa"/>
            <w:left w:w="0" w:type="dxa"/>
            <w:bottom w:w="0" w:type="dxa"/>
            <w:right w:w="0" w:type="dxa"/>
          </w:tblCellMar>
        </w:tblPrEx>
        <w:trPr>
          <w:trHeight w:val="210" w:hRule="atLeast"/>
          <w:jc w:val="center"/>
        </w:trPr>
        <w:tc>
          <w:tcPr>
            <w:tcW w:w="294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1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87"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40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0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889" w:type="dxa"/>
            <w:gridSpan w:val="4"/>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公开04表</w:t>
            </w:r>
          </w:p>
        </w:tc>
      </w:tr>
      <w:tr>
        <w:tblPrEx>
          <w:tblCellMar>
            <w:top w:w="0" w:type="dxa"/>
            <w:left w:w="0" w:type="dxa"/>
            <w:bottom w:w="0" w:type="dxa"/>
            <w:right w:w="0" w:type="dxa"/>
          </w:tblCellMar>
        </w:tblPrEx>
        <w:trPr>
          <w:trHeight w:val="210" w:hRule="atLeast"/>
          <w:jc w:val="center"/>
        </w:trPr>
        <w:tc>
          <w:tcPr>
            <w:tcW w:w="7752" w:type="dxa"/>
            <w:gridSpan w:val="4"/>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eastAsia="zh-CN" w:bidi="ar"/>
              </w:rPr>
              <w:t>部门：承德市粮油质量检测中心</w:t>
            </w:r>
          </w:p>
        </w:tc>
        <w:tc>
          <w:tcPr>
            <w:tcW w:w="50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889" w:type="dxa"/>
            <w:gridSpan w:val="4"/>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217" w:hRule="atLeast"/>
          <w:jc w:val="center"/>
        </w:trPr>
        <w:tc>
          <w:tcPr>
            <w:tcW w:w="434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收     入</w:t>
            </w:r>
          </w:p>
        </w:tc>
        <w:tc>
          <w:tcPr>
            <w:tcW w:w="6803"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支     出</w:t>
            </w:r>
          </w:p>
        </w:tc>
      </w:tr>
      <w:tr>
        <w:tblPrEx>
          <w:tblCellMar>
            <w:top w:w="0" w:type="dxa"/>
            <w:left w:w="0" w:type="dxa"/>
            <w:bottom w:w="0" w:type="dxa"/>
            <w:right w:w="0" w:type="dxa"/>
          </w:tblCellMar>
        </w:tblPrEx>
        <w:trPr>
          <w:trHeight w:val="135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项目</w:t>
            </w:r>
          </w:p>
          <w:p>
            <w:pPr>
              <w:widowControl/>
              <w:jc w:val="center"/>
              <w:textAlignment w:val="center"/>
            </w:pP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行次</w:t>
            </w:r>
          </w:p>
          <w:p>
            <w:pPr>
              <w:widowControl/>
              <w:jc w:val="center"/>
              <w:textAlignment w:val="center"/>
            </w:pP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金额</w:t>
            </w:r>
          </w:p>
          <w:p>
            <w:pPr>
              <w:widowControl/>
              <w:jc w:val="center"/>
              <w:textAlignment w:val="cente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项目</w:t>
            </w:r>
          </w:p>
          <w:p>
            <w:pPr>
              <w:widowControl/>
              <w:jc w:val="center"/>
              <w:textAlignment w:val="center"/>
            </w:pP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行次</w:t>
            </w:r>
          </w:p>
          <w:p>
            <w:pPr>
              <w:widowControl/>
              <w:jc w:val="center"/>
              <w:textAlignment w:val="center"/>
            </w:pP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合计</w:t>
            </w:r>
          </w:p>
          <w:p>
            <w:pPr>
              <w:widowControl/>
              <w:jc w:val="center"/>
              <w:textAlignment w:val="cente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一般公共预算财政拨款</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政府性基金预算财政拨款</w:t>
            </w: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国有资本经营预算财政拨款</w:t>
            </w: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栏次</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w:t>
            </w: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栏次</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w:t>
            </w: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5</w:t>
            </w: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一、一般公共预算财政拨款</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151.20</w:t>
            </w: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一、一般公共服务支出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33</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二、政府性基金预算财政拨款</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二、外交支出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34</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r>
              <w:rPr>
                <w:rFonts w:hint="eastAsia"/>
              </w:rPr>
              <w:t>三、国有资本经营财政拨款</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三、国防支出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35</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四、公共安全支出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36</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五、教育支出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37</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6</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六、科学技术支出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38</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7</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七、文化旅游体育与传媒支出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39</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8</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八、社会保障和就业支出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40</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14.38</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14.38</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9</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九、卫生健康支出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41</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0.47</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0.47</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10</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十、节能环保支出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42</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11</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十一、城乡社区支出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43</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12</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十二、农林水支出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44</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13</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十三、交通运输支出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45</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14</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十四、资源勘探工业信息等支出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46</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15</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十五、商业服务业等支出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47</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16</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十六、金融支出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48</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17</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十七、援助其他地区支出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49</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18</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十八、自然资源海洋气象等支出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50</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19</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十九、住房保障支出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51</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7.00</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7.00</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20</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二十、粮油物资储备支出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52</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99.15</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99.15</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21</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lang w:bidi="ar"/>
              </w:rPr>
            </w:pPr>
            <w:r>
              <w:rPr>
                <w:rFonts w:hint="eastAsia"/>
              </w:rPr>
              <w:t>二十一、国有资本经营预算支出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53</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22</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二十二、灾害防治及应急管理支出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54</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23</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二十三、其他支出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55</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24</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二十四、债务还本支出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56</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25</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 w:val="22"/>
              </w:rPr>
            </w:pPr>
            <w:r>
              <w:rPr>
                <w:rFonts w:hint="eastAsia"/>
              </w:rPr>
              <w:t>二十五、债务付息支出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57</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26</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二十六、抗疫特别国债安排的支出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58</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本年收入合计</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27</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151.20</w:t>
            </w: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r>
              <w:rPr>
                <w:rFonts w:hint="eastAsia"/>
              </w:rPr>
              <w:t>本年支出合计</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59</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121.01</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121.01</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年初财政拨款结转和结余</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28</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19.92</w:t>
            </w: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r>
              <w:rPr>
                <w:rFonts w:hint="eastAsia"/>
              </w:rPr>
              <w:t>年末财政拨款结转和结余</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60</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50.12</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50.12</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r>
              <w:rPr>
                <w:rFonts w:hint="eastAsia"/>
              </w:rPr>
              <w:t xml:space="preserve">  一般公共预算财政拨款</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29</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19.92</w:t>
            </w: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61</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210" w:firstLineChars="100"/>
              <w:textAlignment w:val="center"/>
              <w:rPr>
                <w:rFonts w:ascii="宋体" w:hAnsi="宋体" w:eastAsia="宋体" w:cs="宋体"/>
                <w:b/>
                <w:color w:val="000000"/>
                <w:sz w:val="22"/>
              </w:rPr>
            </w:pPr>
            <w:r>
              <w:rPr>
                <w:rFonts w:hint="eastAsia"/>
              </w:rPr>
              <w:t>政府性基金预算财政拨款</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30</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62</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210" w:firstLineChars="100"/>
              <w:textAlignment w:val="center"/>
              <w:rPr>
                <w:rFonts w:ascii="宋体" w:hAnsi="宋体" w:eastAsia="宋体" w:cs="宋体"/>
                <w:b/>
                <w:color w:val="000000"/>
                <w:kern w:val="0"/>
                <w:sz w:val="22"/>
                <w:lang w:bidi="ar"/>
              </w:rPr>
            </w:pPr>
            <w:r>
              <w:rPr>
                <w:rFonts w:hint="eastAsia"/>
              </w:rPr>
              <w:t>国有资本经营预算财政拨款</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rPr>
              <w:t>31</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22"/>
                <w:lang w:bidi="ar"/>
              </w:rPr>
            </w:pP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rPr>
              <w:t>63</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22"/>
                <w:lang w:bidi="ar"/>
              </w:rPr>
            </w:pPr>
            <w:r>
              <w:rPr>
                <w:rFonts w:hint="eastAsia"/>
              </w:rPr>
              <w:t>总计</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rPr>
              <w:t>32</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171.12</w:t>
            </w: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22"/>
                <w:lang w:bidi="ar"/>
              </w:rPr>
            </w:pPr>
            <w:r>
              <w:rPr>
                <w:rFonts w:hint="eastAsia"/>
              </w:rPr>
              <w:t>总计</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rPr>
              <w:t>64</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171.12</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171.12</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11146" w:type="dxa"/>
            <w:gridSpan w:val="9"/>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注：本表反映部门（或单位）本年度一般公共预算财政拨款、政府性基金预算财政拨款和国有资本经营预算财政拨款的总收支和年末结转结余情况。</w:t>
            </w:r>
            <w:r>
              <w:rPr>
                <w:rFonts w:hint="eastAsia" w:ascii="宋体" w:hAnsi="宋体" w:eastAsia="宋体" w:cs="宋体"/>
                <w:color w:val="000000"/>
                <w:kern w:val="0"/>
                <w:sz w:val="20"/>
                <w:szCs w:val="20"/>
                <w:lang w:bidi="ar"/>
              </w:rPr>
              <w:tab/>
            </w:r>
            <w:r>
              <w:rPr>
                <w:rFonts w:hint="eastAsia" w:ascii="宋体" w:hAnsi="宋体" w:eastAsia="宋体" w:cs="宋体"/>
                <w:color w:val="000000"/>
                <w:kern w:val="0"/>
                <w:sz w:val="20"/>
                <w:szCs w:val="20"/>
                <w:lang w:bidi="ar"/>
              </w:rPr>
              <w:tab/>
            </w:r>
            <w:r>
              <w:rPr>
                <w:rFonts w:hint="eastAsia" w:ascii="宋体" w:hAnsi="宋体" w:eastAsia="宋体" w:cs="宋体"/>
                <w:color w:val="000000"/>
                <w:kern w:val="0"/>
                <w:sz w:val="20"/>
                <w:szCs w:val="20"/>
                <w:lang w:bidi="ar"/>
              </w:rPr>
              <w:tab/>
            </w:r>
            <w:r>
              <w:rPr>
                <w:rFonts w:hint="eastAsia" w:ascii="宋体" w:hAnsi="宋体" w:eastAsia="宋体" w:cs="宋体"/>
                <w:color w:val="000000"/>
                <w:kern w:val="0"/>
                <w:sz w:val="20"/>
                <w:szCs w:val="20"/>
                <w:lang w:bidi="ar"/>
              </w:rPr>
              <w:tab/>
            </w:r>
            <w:r>
              <w:rPr>
                <w:rFonts w:hint="eastAsia" w:ascii="宋体" w:hAnsi="宋体" w:eastAsia="宋体" w:cs="宋体"/>
                <w:color w:val="000000"/>
                <w:kern w:val="0"/>
                <w:sz w:val="20"/>
                <w:szCs w:val="20"/>
                <w:lang w:bidi="ar"/>
              </w:rPr>
              <w:tab/>
            </w:r>
            <w:r>
              <w:rPr>
                <w:rFonts w:hint="eastAsia" w:ascii="宋体" w:hAnsi="宋体" w:eastAsia="宋体" w:cs="宋体"/>
                <w:color w:val="000000"/>
                <w:kern w:val="0"/>
                <w:sz w:val="20"/>
                <w:szCs w:val="20"/>
                <w:lang w:bidi="ar"/>
              </w:rPr>
              <w:tab/>
            </w:r>
            <w:r>
              <w:rPr>
                <w:rFonts w:hint="eastAsia" w:ascii="宋体" w:hAnsi="宋体" w:eastAsia="宋体" w:cs="宋体"/>
                <w:color w:val="000000"/>
                <w:kern w:val="0"/>
                <w:sz w:val="20"/>
                <w:szCs w:val="20"/>
                <w:lang w:bidi="ar"/>
              </w:rPr>
              <w:tab/>
            </w:r>
          </w:p>
        </w:tc>
      </w:tr>
    </w:tbl>
    <w:p>
      <w:pPr>
        <w:widowControl/>
        <w:jc w:val="left"/>
        <w:textAlignment w:val="center"/>
        <w:rPr>
          <w:rFonts w:ascii="宋体" w:hAnsi="宋体" w:eastAsia="宋体" w:cs="宋体"/>
          <w:color w:val="000000"/>
          <w:kern w:val="0"/>
          <w:sz w:val="20"/>
          <w:szCs w:val="20"/>
          <w:lang w:bidi="ar"/>
        </w:rPr>
      </w:pPr>
    </w:p>
    <w:tbl>
      <w:tblPr>
        <w:tblStyle w:val="6"/>
        <w:tblW w:w="9600" w:type="dxa"/>
        <w:jc w:val="center"/>
        <w:tblLayout w:type="fixed"/>
        <w:tblCellMar>
          <w:top w:w="0" w:type="dxa"/>
          <w:left w:w="0" w:type="dxa"/>
          <w:bottom w:w="0" w:type="dxa"/>
          <w:right w:w="0" w:type="dxa"/>
        </w:tblCellMar>
      </w:tblPr>
      <w:tblGrid>
        <w:gridCol w:w="1125"/>
        <w:gridCol w:w="90"/>
        <w:gridCol w:w="240"/>
        <w:gridCol w:w="2063"/>
        <w:gridCol w:w="1642"/>
        <w:gridCol w:w="2232"/>
        <w:gridCol w:w="1762"/>
        <w:gridCol w:w="446"/>
      </w:tblGrid>
      <w:tr>
        <w:tblPrEx>
          <w:tblCellMar>
            <w:top w:w="0" w:type="dxa"/>
            <w:left w:w="0" w:type="dxa"/>
            <w:bottom w:w="0" w:type="dxa"/>
            <w:right w:w="0" w:type="dxa"/>
          </w:tblCellMar>
        </w:tblPrEx>
        <w:trPr>
          <w:gridAfter w:val="1"/>
          <w:wAfter w:w="446" w:type="dxa"/>
          <w:trHeight w:val="90" w:hRule="atLeast"/>
          <w:jc w:val="center"/>
        </w:trPr>
        <w:tc>
          <w:tcPr>
            <w:tcW w:w="9154" w:type="dxa"/>
            <w:gridSpan w:val="7"/>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lang w:bidi="ar"/>
              </w:rPr>
            </w:pPr>
          </w:p>
          <w:p>
            <w:pPr>
              <w:widowControl/>
              <w:jc w:val="left"/>
              <w:textAlignment w:val="center"/>
              <w:rPr>
                <w:rFonts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600" w:hRule="atLeast"/>
          <w:jc w:val="center"/>
        </w:trPr>
        <w:tc>
          <w:tcPr>
            <w:tcW w:w="9600" w:type="dxa"/>
            <w:gridSpan w:val="8"/>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一般公共预算财政拨款支出决算表</w:t>
            </w:r>
          </w:p>
        </w:tc>
      </w:tr>
      <w:tr>
        <w:tblPrEx>
          <w:tblCellMar>
            <w:top w:w="0" w:type="dxa"/>
            <w:left w:w="0" w:type="dxa"/>
            <w:bottom w:w="0" w:type="dxa"/>
            <w:right w:w="0" w:type="dxa"/>
          </w:tblCellMar>
        </w:tblPrEx>
        <w:trPr>
          <w:trHeight w:val="255" w:hRule="atLeast"/>
          <w:jc w:val="center"/>
        </w:trPr>
        <w:tc>
          <w:tcPr>
            <w:tcW w:w="112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4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06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64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4440"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公开05表</w:t>
            </w:r>
          </w:p>
        </w:tc>
      </w:tr>
      <w:tr>
        <w:tblPrEx>
          <w:tblCellMar>
            <w:top w:w="0" w:type="dxa"/>
            <w:left w:w="0" w:type="dxa"/>
            <w:bottom w:w="0" w:type="dxa"/>
            <w:right w:w="0" w:type="dxa"/>
          </w:tblCellMar>
        </w:tblPrEx>
        <w:trPr>
          <w:trHeight w:val="255" w:hRule="atLeast"/>
          <w:jc w:val="center"/>
        </w:trPr>
        <w:tc>
          <w:tcPr>
            <w:tcW w:w="5160" w:type="dxa"/>
            <w:gridSpan w:val="5"/>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eastAsia="zh-CN" w:bidi="ar"/>
              </w:rPr>
              <w:t>部门：承德市粮油质量检测中心</w:t>
            </w:r>
          </w:p>
        </w:tc>
        <w:tc>
          <w:tcPr>
            <w:tcW w:w="4440"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jc w:val="center"/>
        </w:trPr>
        <w:tc>
          <w:tcPr>
            <w:tcW w:w="351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6082"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CellMar>
            <w:top w:w="0" w:type="dxa"/>
            <w:left w:w="0" w:type="dxa"/>
            <w:bottom w:w="0" w:type="dxa"/>
            <w:right w:w="0" w:type="dxa"/>
          </w:tblCellMar>
        </w:tblPrEx>
        <w:trPr>
          <w:trHeight w:val="312" w:hRule="atLeast"/>
          <w:jc w:val="center"/>
        </w:trPr>
        <w:tc>
          <w:tcPr>
            <w:tcW w:w="145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20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64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22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2208"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CellMar>
            <w:top w:w="0" w:type="dxa"/>
            <w:left w:w="0" w:type="dxa"/>
            <w:bottom w:w="0" w:type="dxa"/>
            <w:right w:w="0" w:type="dxa"/>
          </w:tblCellMar>
        </w:tblPrEx>
        <w:trPr>
          <w:trHeight w:val="312" w:hRule="atLeast"/>
          <w:jc w:val="center"/>
        </w:trPr>
        <w:tc>
          <w:tcPr>
            <w:tcW w:w="145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0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4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08"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45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0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4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08"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351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trHeight w:val="308" w:hRule="atLeast"/>
          <w:jc w:val="center"/>
        </w:trPr>
        <w:tc>
          <w:tcPr>
            <w:tcW w:w="351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0"/>
                <w:szCs w:val="20"/>
                <w:u w:val="none"/>
                <w:lang w:val="en-US" w:eastAsia="zh-CN" w:bidi="ar"/>
              </w:rPr>
              <w:t>121.01</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0"/>
                <w:szCs w:val="20"/>
                <w:u w:val="none"/>
                <w:lang w:val="en-US" w:eastAsia="zh-CN" w:bidi="ar"/>
              </w:rPr>
              <w:t>96.01</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0"/>
                <w:szCs w:val="20"/>
                <w:u w:val="none"/>
                <w:lang w:val="en-US" w:eastAsia="zh-CN" w:bidi="ar"/>
              </w:rPr>
              <w:t>25.00</w:t>
            </w:r>
          </w:p>
        </w:tc>
      </w:tr>
      <w:tr>
        <w:tblPrEx>
          <w:tblCellMar>
            <w:top w:w="0" w:type="dxa"/>
            <w:left w:w="0" w:type="dxa"/>
            <w:bottom w:w="0" w:type="dxa"/>
            <w:right w:w="0" w:type="dxa"/>
          </w:tblCellMar>
        </w:tblPrEx>
        <w:trPr>
          <w:trHeight w:val="308" w:hRule="atLeast"/>
          <w:jc w:val="center"/>
        </w:trPr>
        <w:tc>
          <w:tcPr>
            <w:tcW w:w="145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208</w:t>
            </w:r>
          </w:p>
        </w:tc>
        <w:tc>
          <w:tcPr>
            <w:tcW w:w="20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社会保障和就业支出</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14.38</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14.38</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45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20805</w:t>
            </w:r>
          </w:p>
        </w:tc>
        <w:tc>
          <w:tcPr>
            <w:tcW w:w="20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行政事业单位养老支出</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14.38</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14.38</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45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2080501</w:t>
            </w:r>
          </w:p>
        </w:tc>
        <w:tc>
          <w:tcPr>
            <w:tcW w:w="20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 xml:space="preserve">  行政单位离退休</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45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2080502</w:t>
            </w:r>
          </w:p>
        </w:tc>
        <w:tc>
          <w:tcPr>
            <w:tcW w:w="20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 xml:space="preserve">  事业单位离退休</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5.28</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5.28</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45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2080505</w:t>
            </w:r>
          </w:p>
        </w:tc>
        <w:tc>
          <w:tcPr>
            <w:tcW w:w="20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9.10</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9.10</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45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210</w:t>
            </w:r>
          </w:p>
        </w:tc>
        <w:tc>
          <w:tcPr>
            <w:tcW w:w="20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卫生健康支出</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0.47</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0.47</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45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21011</w:t>
            </w:r>
          </w:p>
        </w:tc>
        <w:tc>
          <w:tcPr>
            <w:tcW w:w="20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行政事业单位医疗</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0.47</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0.47</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45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2101102</w:t>
            </w:r>
          </w:p>
        </w:tc>
        <w:tc>
          <w:tcPr>
            <w:tcW w:w="20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 xml:space="preserve">  事业单位医疗</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0.47</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0.47</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45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221</w:t>
            </w:r>
          </w:p>
        </w:tc>
        <w:tc>
          <w:tcPr>
            <w:tcW w:w="20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住房保障支出</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7.00</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7.00</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45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22102</w:t>
            </w:r>
          </w:p>
        </w:tc>
        <w:tc>
          <w:tcPr>
            <w:tcW w:w="20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住房改革支出</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7.00</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7.00</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45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2210201</w:t>
            </w:r>
          </w:p>
        </w:tc>
        <w:tc>
          <w:tcPr>
            <w:tcW w:w="20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 xml:space="preserve">  住房公积金</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7.00</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7.00</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45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222</w:t>
            </w:r>
          </w:p>
        </w:tc>
        <w:tc>
          <w:tcPr>
            <w:tcW w:w="20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粮油物资储备支出</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99.15</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74.15</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25.00</w:t>
            </w:r>
          </w:p>
        </w:tc>
      </w:tr>
      <w:tr>
        <w:tblPrEx>
          <w:tblCellMar>
            <w:top w:w="0" w:type="dxa"/>
            <w:left w:w="0" w:type="dxa"/>
            <w:bottom w:w="0" w:type="dxa"/>
            <w:right w:w="0" w:type="dxa"/>
          </w:tblCellMar>
        </w:tblPrEx>
        <w:trPr>
          <w:trHeight w:val="308" w:hRule="atLeast"/>
          <w:jc w:val="center"/>
        </w:trPr>
        <w:tc>
          <w:tcPr>
            <w:tcW w:w="145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22201</w:t>
            </w:r>
          </w:p>
        </w:tc>
        <w:tc>
          <w:tcPr>
            <w:tcW w:w="20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粮油事务</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99.15</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74.15</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25.00</w:t>
            </w:r>
          </w:p>
        </w:tc>
      </w:tr>
      <w:tr>
        <w:tblPrEx>
          <w:tblCellMar>
            <w:top w:w="0" w:type="dxa"/>
            <w:left w:w="0" w:type="dxa"/>
            <w:bottom w:w="0" w:type="dxa"/>
            <w:right w:w="0" w:type="dxa"/>
          </w:tblCellMar>
        </w:tblPrEx>
        <w:trPr>
          <w:trHeight w:val="308" w:hRule="atLeast"/>
          <w:jc w:val="center"/>
        </w:trPr>
        <w:tc>
          <w:tcPr>
            <w:tcW w:w="1455" w:type="dxa"/>
            <w:gridSpan w:val="3"/>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2220106</w:t>
            </w:r>
          </w:p>
        </w:tc>
        <w:tc>
          <w:tcPr>
            <w:tcW w:w="2063"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 xml:space="preserve">  粮食专项业务活动</w:t>
            </w:r>
          </w:p>
        </w:tc>
        <w:tc>
          <w:tcPr>
            <w:tcW w:w="1642"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25.00</w:t>
            </w:r>
          </w:p>
        </w:tc>
        <w:tc>
          <w:tcPr>
            <w:tcW w:w="2232"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208" w:type="dxa"/>
            <w:gridSpan w:val="2"/>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25.00</w:t>
            </w:r>
          </w:p>
        </w:tc>
      </w:tr>
      <w:tr>
        <w:tblPrEx>
          <w:tblCellMar>
            <w:top w:w="0" w:type="dxa"/>
            <w:left w:w="0" w:type="dxa"/>
            <w:bottom w:w="0" w:type="dxa"/>
            <w:right w:w="0" w:type="dxa"/>
          </w:tblCellMar>
        </w:tblPrEx>
        <w:trPr>
          <w:trHeight w:val="308" w:hRule="atLeast"/>
          <w:jc w:val="center"/>
        </w:trPr>
        <w:tc>
          <w:tcPr>
            <w:tcW w:w="1455"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2220150</w:t>
            </w:r>
          </w:p>
        </w:tc>
        <w:tc>
          <w:tcPr>
            <w:tcW w:w="20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 xml:space="preserve">  事业运行</w:t>
            </w:r>
          </w:p>
        </w:tc>
        <w:tc>
          <w:tcPr>
            <w:tcW w:w="16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74.15</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74.15</w:t>
            </w:r>
          </w:p>
        </w:tc>
        <w:tc>
          <w:tcPr>
            <w:tcW w:w="220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9600" w:type="dxa"/>
            <w:gridSpan w:val="8"/>
            <w:tcBorders>
              <w:top w:val="single" w:color="auto" w:sz="4" w:space="0"/>
              <w:left w:val="nil"/>
              <w:bottom w:val="nil"/>
              <w:right w:val="nil"/>
            </w:tcBorders>
            <w:shd w:val="clear" w:color="auto" w:fill="auto"/>
            <w:tcMar>
              <w:top w:w="15" w:type="dxa"/>
              <w:left w:w="15" w:type="dxa"/>
              <w:right w:w="15" w:type="dxa"/>
            </w:tcMar>
            <w:vAlign w:val="center"/>
          </w:tcPr>
          <w:p>
            <w:pPr>
              <w:tabs>
                <w:tab w:val="left" w:pos="218"/>
              </w:tabs>
              <w:jc w:val="left"/>
              <w:rPr>
                <w:rFonts w:ascii="宋体" w:hAnsi="宋体" w:eastAsia="宋体" w:cs="宋体"/>
                <w:color w:val="000000"/>
                <w:sz w:val="22"/>
              </w:rPr>
            </w:pPr>
            <w:r>
              <w:rPr>
                <w:rFonts w:hint="eastAsia" w:ascii="宋体" w:hAnsi="宋体" w:eastAsia="宋体" w:cs="宋体"/>
                <w:color w:val="000000"/>
                <w:sz w:val="22"/>
              </w:rPr>
              <w:t>注：本表反映部门（或单位）本年度一般公共预算财政拨款支出情况。</w:t>
            </w:r>
          </w:p>
        </w:tc>
      </w:tr>
    </w:tbl>
    <w:p>
      <w:r>
        <w:br w:type="page"/>
      </w:r>
    </w:p>
    <w:tbl>
      <w:tblPr>
        <w:tblStyle w:val="6"/>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552" w:hRule="atLeast"/>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一般公共预算财政拨款基本支出决算明细表</w:t>
            </w:r>
          </w:p>
        </w:tc>
      </w:tr>
      <w:tr>
        <w:tblPrEx>
          <w:tblCellMar>
            <w:top w:w="0" w:type="dxa"/>
            <w:left w:w="0" w:type="dxa"/>
            <w:bottom w:w="0" w:type="dxa"/>
            <w:right w:w="0" w:type="dxa"/>
          </w:tblCellMar>
        </w:tblPrEx>
        <w:trPr>
          <w:trHeight w:val="165" w:hRule="atLeast"/>
          <w:jc w:val="center"/>
        </w:trPr>
        <w:tc>
          <w:tcPr>
            <w:tcW w:w="89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公开06表</w:t>
            </w:r>
          </w:p>
        </w:tc>
      </w:tr>
      <w:tr>
        <w:tblPrEx>
          <w:tblCellMar>
            <w:top w:w="0" w:type="dxa"/>
            <w:left w:w="0" w:type="dxa"/>
            <w:bottom w:w="0" w:type="dxa"/>
            <w:right w:w="0" w:type="dxa"/>
          </w:tblCellMar>
        </w:tblPrEx>
        <w:trPr>
          <w:trHeight w:val="155" w:hRule="atLeast"/>
          <w:jc w:val="center"/>
        </w:trPr>
        <w:tc>
          <w:tcPr>
            <w:tcW w:w="6633" w:type="dxa"/>
            <w:gridSpan w:val="6"/>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eastAsia="zh-CN" w:bidi="ar"/>
              </w:rPr>
              <w:t>部门：承德市粮油质量检测中心</w:t>
            </w:r>
          </w:p>
        </w:tc>
        <w:tc>
          <w:tcPr>
            <w:tcW w:w="74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249"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人员经费</w:t>
            </w:r>
          </w:p>
        </w:tc>
        <w:tc>
          <w:tcPr>
            <w:tcW w:w="6389"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编码</w:t>
            </w:r>
          </w:p>
        </w:tc>
        <w:tc>
          <w:tcPr>
            <w:tcW w:w="19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c>
          <w:tcPr>
            <w:tcW w:w="6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科目编码</w:t>
            </w:r>
          </w:p>
        </w:tc>
        <w:tc>
          <w:tcPr>
            <w:tcW w:w="159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6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c>
          <w:tcPr>
            <w:tcW w:w="74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编码</w:t>
            </w:r>
          </w:p>
        </w:tc>
        <w:tc>
          <w:tcPr>
            <w:tcW w:w="18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0" w:type="dxa"/>
            <w:left w:w="0" w:type="dxa"/>
            <w:bottom w:w="0" w:type="dxa"/>
            <w:right w:w="0" w:type="dxa"/>
          </w:tblCellMar>
        </w:tblPrEx>
        <w:trPr>
          <w:trHeight w:val="312" w:hRule="atLeast"/>
          <w:jc w:val="center"/>
        </w:trPr>
        <w:tc>
          <w:tcPr>
            <w:tcW w:w="89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工资福利支出</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87.52</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商品和服务支出</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3.64</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债务利息及费用支出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基本工资</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35.83</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0.38</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国内债务付息</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津贴补贴</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8.26</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印刷费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国外债务付息</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奖金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3.12</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咨询费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0.80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资本性支出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伙食补助费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手续费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0.04</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房屋建筑物购建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绩效工资</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23.31</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水费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办公设备购置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机关事业单位基本养老保险缴费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9.10</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电费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专用设备购置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职业年金缴费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邮电费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0.30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31005</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基础设施建设</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职工基本医疗保险缴费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取暖费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大型修缮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30111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公务员医疗补助缴费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物业管理费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信息网络及软件购置更新</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30112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其他社会保障缴费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0.89</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差旅费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物资储备</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30113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住房公积金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7.00</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因公出国（境）费用</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土地补偿</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30114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医疗费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维修（护）费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安置补助</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其他工资福利支出</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租赁费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地上附着物和青苗补偿</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对个人和家庭的补助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4.84</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会议费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拆迁补偿</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离休费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培训费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退休费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4.46</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公务接待费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其他交通工具购置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退职（役）费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专用材料费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文物和陈列品购置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抚恤金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被装购置费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无形资产购置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30305</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生活补助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0.39</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专用燃料费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其他资本性支出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救济费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劳务费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医疗费补助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委托业务费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赠与</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助学金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工会经费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0.73</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国家赔偿费用支出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4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奖励金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福利费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0.87</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8"/>
                <w:szCs w:val="18"/>
                <w:lang w:bidi="ar"/>
              </w:rPr>
              <w:t xml:space="preserve"> 对民间非营利组织和群众性自治组织补贴</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78"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个人农业生产补贴</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公务用车运行维护费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56"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30311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代缴社会保险费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其他交通费用</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77"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其他对个人和家庭的补助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30240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税金及附加费用</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13" w:hRule="atLeast"/>
          <w:jc w:val="center"/>
        </w:trPr>
        <w:tc>
          <w:tcPr>
            <w:tcW w:w="896"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30299</w:t>
            </w:r>
          </w:p>
        </w:tc>
        <w:tc>
          <w:tcPr>
            <w:tcW w:w="1599"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其他商品和服务支出</w:t>
            </w:r>
          </w:p>
        </w:tc>
        <w:tc>
          <w:tcPr>
            <w:tcW w:w="768"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0.52</w:t>
            </w:r>
          </w:p>
        </w:tc>
        <w:tc>
          <w:tcPr>
            <w:tcW w:w="744"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127" w:hRule="atLeast"/>
          <w:jc w:val="center"/>
        </w:trPr>
        <w:tc>
          <w:tcPr>
            <w:tcW w:w="282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人员经费合计</w:t>
            </w:r>
          </w:p>
        </w:tc>
        <w:tc>
          <w:tcPr>
            <w:tcW w:w="7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92.37</w:t>
            </w:r>
          </w:p>
        </w:tc>
        <w:tc>
          <w:tcPr>
            <w:tcW w:w="5657"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公用经费合计</w:t>
            </w:r>
          </w:p>
        </w:tc>
        <w:tc>
          <w:tcPr>
            <w:tcW w:w="73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3.64</w:t>
            </w:r>
          </w:p>
        </w:tc>
      </w:tr>
      <w:tr>
        <w:tblPrEx>
          <w:tblCellMar>
            <w:top w:w="0" w:type="dxa"/>
            <w:left w:w="0" w:type="dxa"/>
            <w:bottom w:w="0" w:type="dxa"/>
            <w:right w:w="0" w:type="dxa"/>
          </w:tblCellMar>
        </w:tblPrEx>
        <w:trPr>
          <w:trHeight w:val="332" w:hRule="atLeast"/>
          <w:jc w:val="center"/>
        </w:trPr>
        <w:tc>
          <w:tcPr>
            <w:tcW w:w="10000" w:type="dxa"/>
            <w:gridSpan w:val="9"/>
            <w:tcBorders>
              <w:top w:val="single" w:color="auto" w:sz="4" w:space="0"/>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注：本表反映部门（或单位）本</w:t>
            </w:r>
            <w:r>
              <w:rPr>
                <w:rFonts w:hint="eastAsia" w:ascii="宋体" w:hAnsi="宋体" w:eastAsia="宋体" w:cs="宋体"/>
                <w:color w:val="000000"/>
                <w:kern w:val="0"/>
                <w:sz w:val="20"/>
                <w:szCs w:val="20"/>
                <w:lang w:bidi="ar"/>
              </w:rPr>
              <w:t>年度</w:t>
            </w:r>
            <w:r>
              <w:rPr>
                <w:rFonts w:hint="eastAsia" w:ascii="宋体" w:hAnsi="宋体" w:eastAsia="宋体" w:cs="宋体"/>
                <w:color w:val="000000"/>
                <w:sz w:val="20"/>
                <w:szCs w:val="20"/>
              </w:rPr>
              <w:t>一般公共预算财政拨款基本支出明细情况。</w:t>
            </w:r>
          </w:p>
        </w:tc>
      </w:tr>
    </w:tbl>
    <w:p/>
    <w:p/>
    <w:p/>
    <w:p/>
    <w:tbl>
      <w:tblPr>
        <w:tblStyle w:val="6"/>
        <w:tblW w:w="9220" w:type="dxa"/>
        <w:jc w:val="center"/>
        <w:tblLayout w:type="fixed"/>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pPr>
            <w:r>
              <w:br w:type="page"/>
            </w:r>
            <w:r>
              <w:rPr>
                <w:rFonts w:hint="eastAsia" w:ascii="黑体" w:hAnsi="宋体" w:eastAsia="黑体" w:cs="黑体"/>
                <w:color w:val="000000"/>
                <w:kern w:val="0"/>
                <w:sz w:val="32"/>
                <w:szCs w:val="32"/>
                <w:lang w:bidi="ar"/>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68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CellMar>
            <w:top w:w="0" w:type="dxa"/>
            <w:left w:w="0" w:type="dxa"/>
            <w:bottom w:w="0" w:type="dxa"/>
            <w:right w:w="0" w:type="dxa"/>
          </w:tblCellMar>
        </w:tblPrEx>
        <w:trPr>
          <w:trHeight w:val="360" w:hRule="atLeast"/>
          <w:jc w:val="center"/>
        </w:trPr>
        <w:tc>
          <w:tcPr>
            <w:tcW w:w="6083" w:type="dxa"/>
            <w:gridSpan w:val="4"/>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eastAsia="zh-CN" w:bidi="ar"/>
              </w:rPr>
              <w:t>部门：承德市粮油质量检测中心</w:t>
            </w: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0.03</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0.03</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686"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57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rPr>
        <w:t>注：本表反映部门本年度“</w:t>
      </w:r>
      <w:r>
        <w:rPr>
          <w:rFonts w:hint="eastAsia" w:ascii="宋体" w:hAnsi="宋体" w:eastAsia="宋体" w:cs="宋体"/>
          <w:highlight w:val="none"/>
        </w:rPr>
        <w:t>三公”经费支出预决算情况。其中：预算数为“三公”经费全年预算数，反映按规定程序调整后的预算数；决算</w:t>
      </w:r>
      <w:r>
        <w:rPr>
          <w:rFonts w:hint="eastAsia" w:ascii="宋体" w:hAnsi="宋体" w:eastAsia="宋体" w:cs="宋体"/>
        </w:rPr>
        <w:t>数是包括当年一般公共预算财政拨款和以前年度结转资金安排的实际支出。</w:t>
      </w:r>
      <w:r>
        <w:tab/>
      </w:r>
      <w:r>
        <w:tab/>
      </w:r>
      <w:r>
        <w:tab/>
      </w:r>
      <w:r>
        <w:tab/>
      </w:r>
      <w:r>
        <w:tab/>
      </w:r>
      <w:r>
        <w:tab/>
      </w:r>
      <w:r>
        <w:tab/>
      </w:r>
      <w:r>
        <w:tab/>
      </w:r>
      <w:r>
        <w:tab/>
      </w:r>
      <w:r>
        <w:tab/>
      </w:r>
      <w:r>
        <w:br w:type="page"/>
      </w:r>
    </w:p>
    <w:tbl>
      <w:tblPr>
        <w:tblStyle w:val="6"/>
        <w:tblW w:w="9512" w:type="dxa"/>
        <w:jc w:val="center"/>
        <w:tblLayout w:type="fixed"/>
        <w:tblCellMar>
          <w:top w:w="0" w:type="dxa"/>
          <w:left w:w="0" w:type="dxa"/>
          <w:bottom w:w="0" w:type="dxa"/>
          <w:right w:w="0" w:type="dxa"/>
        </w:tblCellMar>
      </w:tblPr>
      <w:tblGrid>
        <w:gridCol w:w="2830"/>
        <w:gridCol w:w="36"/>
        <w:gridCol w:w="36"/>
        <w:gridCol w:w="910"/>
        <w:gridCol w:w="950"/>
        <w:gridCol w:w="950"/>
        <w:gridCol w:w="950"/>
        <w:gridCol w:w="950"/>
        <w:gridCol w:w="950"/>
        <w:gridCol w:w="950"/>
      </w:tblGrid>
      <w:tr>
        <w:tblPrEx>
          <w:tblCellMar>
            <w:top w:w="0" w:type="dxa"/>
            <w:left w:w="0" w:type="dxa"/>
            <w:bottom w:w="0" w:type="dxa"/>
            <w:right w:w="0" w:type="dxa"/>
          </w:tblCellMar>
        </w:tblPrEx>
        <w:trPr>
          <w:trHeight w:val="780" w:hRule="atLeast"/>
          <w:jc w:val="center"/>
        </w:trPr>
        <w:tc>
          <w:tcPr>
            <w:tcW w:w="9512" w:type="dxa"/>
            <w:gridSpan w:val="10"/>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政府性基金预算财政拨款收入支出决算表</w:t>
            </w:r>
          </w:p>
        </w:tc>
      </w:tr>
      <w:tr>
        <w:tblPrEx>
          <w:tblCellMar>
            <w:top w:w="0" w:type="dxa"/>
            <w:left w:w="0" w:type="dxa"/>
            <w:bottom w:w="0" w:type="dxa"/>
            <w:right w:w="0" w:type="dxa"/>
          </w:tblCellMar>
        </w:tblPrEx>
        <w:trPr>
          <w:trHeight w:val="255" w:hRule="atLeast"/>
          <w:jc w:val="center"/>
        </w:trPr>
        <w:tc>
          <w:tcPr>
            <w:tcW w:w="283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1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5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5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5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5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900"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CellMar>
            <w:top w:w="0" w:type="dxa"/>
            <w:left w:w="0" w:type="dxa"/>
            <w:bottom w:w="0" w:type="dxa"/>
            <w:right w:w="0" w:type="dxa"/>
          </w:tblCellMar>
        </w:tblPrEx>
        <w:trPr>
          <w:trHeight w:val="255" w:hRule="atLeast"/>
          <w:jc w:val="center"/>
        </w:trPr>
        <w:tc>
          <w:tcPr>
            <w:tcW w:w="2830"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eastAsia="zh-CN" w:bidi="ar"/>
              </w:rPr>
              <w:t>部门：承德市粮油质量检测中心</w:t>
            </w:r>
          </w:p>
        </w:tc>
        <w:tc>
          <w:tcPr>
            <w:tcW w:w="3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1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5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5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5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5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900"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jc w:val="center"/>
        </w:trPr>
        <w:tc>
          <w:tcPr>
            <w:tcW w:w="38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9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年初结转和结余</w:t>
            </w:r>
          </w:p>
        </w:tc>
        <w:tc>
          <w:tcPr>
            <w:tcW w:w="9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w:t>
            </w:r>
          </w:p>
        </w:tc>
        <w:tc>
          <w:tcPr>
            <w:tcW w:w="28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c>
          <w:tcPr>
            <w:tcW w:w="9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年末结转和结余</w:t>
            </w:r>
          </w:p>
        </w:tc>
      </w:tr>
      <w:tr>
        <w:tblPrEx>
          <w:tblCellMar>
            <w:top w:w="0" w:type="dxa"/>
            <w:left w:w="0" w:type="dxa"/>
            <w:bottom w:w="0" w:type="dxa"/>
            <w:right w:w="0" w:type="dxa"/>
          </w:tblCellMar>
        </w:tblPrEx>
        <w:trPr>
          <w:trHeight w:val="312" w:hRule="atLeast"/>
          <w:jc w:val="center"/>
        </w:trPr>
        <w:tc>
          <w:tcPr>
            <w:tcW w:w="2902"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91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9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9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9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9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290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1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290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1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3812"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CellMar>
            <w:top w:w="0" w:type="dxa"/>
            <w:left w:w="0" w:type="dxa"/>
            <w:bottom w:w="0" w:type="dxa"/>
            <w:right w:w="0" w:type="dxa"/>
          </w:tblCellMar>
        </w:tblPrEx>
        <w:trPr>
          <w:trHeight w:val="308" w:hRule="atLeast"/>
          <w:jc w:val="center"/>
        </w:trPr>
        <w:tc>
          <w:tcPr>
            <w:tcW w:w="3812"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29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29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29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29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29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bl>
    <w:p>
      <w:pPr>
        <w:rPr>
          <w:b/>
        </w:rPr>
      </w:pPr>
      <w:r>
        <w:rPr>
          <w:rFonts w:hint="eastAsia" w:ascii="宋体" w:hAnsi="宋体" w:eastAsia="宋体" w:cs="宋体"/>
        </w:rPr>
        <w:t>注：本表反映部门（或单位）本年度政府性基金预算财政拨款收入、支出及结转和结余情况。</w:t>
      </w:r>
      <w:r>
        <w:rPr>
          <w:rFonts w:hint="eastAsia" w:ascii="宋体" w:hAnsi="宋体"/>
          <w:sz w:val="21"/>
          <w:lang w:val="zh-CN"/>
        </w:rPr>
        <w:t>本部门(或单位)本年度无收支及结转结余情况，按要求以空表列示。</w:t>
      </w:r>
      <w:r>
        <w:rPr>
          <w:b/>
        </w:rPr>
        <w:br w:type="page"/>
      </w:r>
    </w:p>
    <w:tbl>
      <w:tblPr>
        <w:tblStyle w:val="6"/>
        <w:tblW w:w="9918" w:type="dxa"/>
        <w:jc w:val="center"/>
        <w:tblLayout w:type="fixed"/>
        <w:tblCellMar>
          <w:top w:w="0" w:type="dxa"/>
          <w:left w:w="0" w:type="dxa"/>
          <w:bottom w:w="0" w:type="dxa"/>
          <w:right w:w="0" w:type="dxa"/>
        </w:tblCellMar>
      </w:tblPr>
      <w:tblGrid>
        <w:gridCol w:w="3584"/>
        <w:gridCol w:w="46"/>
        <w:gridCol w:w="46"/>
        <w:gridCol w:w="3342"/>
        <w:gridCol w:w="595"/>
        <w:gridCol w:w="1153"/>
        <w:gridCol w:w="1152"/>
      </w:tblGrid>
      <w:tr>
        <w:tblPrEx>
          <w:tblCellMar>
            <w:top w:w="0" w:type="dxa"/>
            <w:left w:w="0" w:type="dxa"/>
            <w:bottom w:w="0" w:type="dxa"/>
            <w:right w:w="0" w:type="dxa"/>
          </w:tblCellMar>
        </w:tblPrEx>
        <w:trPr>
          <w:trHeight w:val="840" w:hRule="atLeast"/>
          <w:jc w:val="center"/>
        </w:trPr>
        <w:tc>
          <w:tcPr>
            <w:tcW w:w="9918" w:type="dxa"/>
            <w:gridSpan w:val="7"/>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国有资本经营预算财政拨款支出决算表</w:t>
            </w:r>
          </w:p>
        </w:tc>
      </w:tr>
      <w:tr>
        <w:tblPrEx>
          <w:tblCellMar>
            <w:top w:w="0" w:type="dxa"/>
            <w:left w:w="0" w:type="dxa"/>
            <w:bottom w:w="0" w:type="dxa"/>
            <w:right w:w="0" w:type="dxa"/>
          </w:tblCellMar>
        </w:tblPrEx>
        <w:trPr>
          <w:trHeight w:val="255" w:hRule="atLeast"/>
          <w:jc w:val="center"/>
        </w:trPr>
        <w:tc>
          <w:tcPr>
            <w:tcW w:w="358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4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4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34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9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305"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公开09表</w:t>
            </w:r>
          </w:p>
        </w:tc>
      </w:tr>
      <w:tr>
        <w:tblPrEx>
          <w:tblCellMar>
            <w:top w:w="0" w:type="dxa"/>
            <w:left w:w="0" w:type="dxa"/>
            <w:bottom w:w="0" w:type="dxa"/>
            <w:right w:w="0" w:type="dxa"/>
          </w:tblCellMar>
        </w:tblPrEx>
        <w:trPr>
          <w:trHeight w:val="255" w:hRule="atLeast"/>
          <w:jc w:val="center"/>
        </w:trPr>
        <w:tc>
          <w:tcPr>
            <w:tcW w:w="3584"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eastAsia="zh-CN" w:bidi="ar"/>
              </w:rPr>
              <w:t>部门：承德市粮油质量检测中心</w:t>
            </w:r>
          </w:p>
        </w:tc>
        <w:tc>
          <w:tcPr>
            <w:tcW w:w="4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4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34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9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305"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jc w:val="center"/>
        </w:trPr>
        <w:tc>
          <w:tcPr>
            <w:tcW w:w="701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w:t>
            </w:r>
          </w:p>
        </w:tc>
        <w:tc>
          <w:tcPr>
            <w:tcW w:w="290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CellMar>
            <w:top w:w="0" w:type="dxa"/>
            <w:left w:w="0" w:type="dxa"/>
            <w:bottom w:w="0" w:type="dxa"/>
            <w:right w:w="0" w:type="dxa"/>
          </w:tblCellMar>
        </w:tblPrEx>
        <w:trPr>
          <w:trHeight w:val="615" w:hRule="atLeast"/>
          <w:jc w:val="center"/>
        </w:trPr>
        <w:tc>
          <w:tcPr>
            <w:tcW w:w="367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33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5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1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1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CellMar>
            <w:top w:w="0" w:type="dxa"/>
            <w:left w:w="0" w:type="dxa"/>
            <w:bottom w:w="0" w:type="dxa"/>
            <w:right w:w="0" w:type="dxa"/>
          </w:tblCellMar>
        </w:tblPrEx>
        <w:trPr>
          <w:trHeight w:val="308" w:hRule="atLeast"/>
          <w:jc w:val="center"/>
        </w:trPr>
        <w:tc>
          <w:tcPr>
            <w:tcW w:w="701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5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1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1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trHeight w:val="308" w:hRule="atLeast"/>
          <w:jc w:val="center"/>
        </w:trPr>
        <w:tc>
          <w:tcPr>
            <w:tcW w:w="701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5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1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1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367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33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5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367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33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5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367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33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5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367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33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5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367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33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5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bl>
    <w:p>
      <w:pPr>
        <w:rPr>
          <w:rFonts w:ascii="黑体" w:hAnsi="黑体" w:eastAsia="黑体" w:cs="黑体"/>
          <w:sz w:val="56"/>
          <w:szCs w:val="72"/>
        </w:rPr>
      </w:pPr>
      <w:r>
        <w:rPr>
          <w:rFonts w:hint="eastAsia" w:ascii="宋体" w:hAnsi="宋体" w:eastAsia="宋体" w:cs="宋体"/>
        </w:rPr>
        <w:t>注：本表反映部门本年度国有资本经营预算财政拨款收入、支出及结转结余情况。</w:t>
      </w:r>
      <w:r>
        <w:rPr>
          <w:rFonts w:hint="eastAsia" w:ascii="宋体" w:hAnsi="宋体"/>
          <w:sz w:val="21"/>
          <w:lang w:val="zh-CN"/>
        </w:rPr>
        <w:t>本部门(或单位)本年度无收支及结转结余情况，按要求以空表列示。</w:t>
      </w: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
      <w:pPr>
        <w:widowControl/>
        <w:spacing w:after="160" w:line="580" w:lineRule="exact"/>
        <w:ind w:firstLine="2275" w:firstLineChars="316"/>
        <w:rPr>
          <w:rFonts w:ascii="Times New Roman" w:hAnsi="Times New Roman" w:eastAsia="黑体" w:cs="Times New Roman"/>
          <w:sz w:val="32"/>
          <w:szCs w:val="32"/>
        </w:rPr>
        <w:sectPr>
          <w:pgSz w:w="11906" w:h="16838"/>
          <w:pgMar w:top="1134" w:right="1531" w:bottom="1126"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5408"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5408;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widowControl/>
        <w:jc w:val="center"/>
        <w:rPr>
          <w:rFonts w:eastAsia="黑体"/>
          <w:sz w:val="32"/>
          <w:szCs w:val="32"/>
        </w:rPr>
      </w:pPr>
      <w:r>
        <w:rPr>
          <w:rFonts w:hint="eastAsia" w:eastAsia="黑体"/>
          <w:sz w:val="32"/>
          <w:szCs w:val="32"/>
        </w:rPr>
        <w:t xml:space="preserve">      </w:t>
      </w: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r>
        <w:rPr>
          <w:rFonts w:hint="eastAsia" w:eastAsia="黑体"/>
          <w:sz w:val="32"/>
          <w:szCs w:val="32"/>
        </w:rPr>
        <w:drawing>
          <wp:anchor distT="0" distB="0" distL="114300" distR="114300" simplePos="0" relativeHeight="251669504" behindDoc="0" locked="0" layoutInCell="1" allowOverlap="1">
            <wp:simplePos x="0" y="0"/>
            <wp:positionH relativeFrom="column">
              <wp:posOffset>-52705</wp:posOffset>
            </wp:positionH>
            <wp:positionV relativeFrom="margin">
              <wp:posOffset>3352800</wp:posOffset>
            </wp:positionV>
            <wp:extent cx="660400" cy="660400"/>
            <wp:effectExtent l="0" t="0" r="0" b="0"/>
            <wp:wrapNone/>
            <wp:docPr id="74" name="图片 74" descr="32303036343138343b32303038313639313bcafdbeddb7d6c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32303036343138343b32303038313639313bcafdbeddb7d6cef6"/>
                    <pic:cNvPicPr>
                      <a:picLocks noChangeAspect="1"/>
                    </pic:cNvPicPr>
                  </pic:nvPicPr>
                  <pic:blipFill>
                    <a:blip r:embed="rId13"/>
                    <a:stretch>
                      <a:fillRect/>
                    </a:stretch>
                  </pic:blipFill>
                  <pic:spPr>
                    <a:xfrm>
                      <a:off x="0" y="0"/>
                      <a:ext cx="660400" cy="660400"/>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第三部分 2021年度部门决算情况说明</w:t>
      </w:r>
    </w:p>
    <w:p>
      <w:pPr>
        <w:rPr>
          <w:rFonts w:ascii="黑体" w:hAnsi="Calibri" w:eastAsia="黑体" w:cs="Times New Roman"/>
          <w:sz w:val="32"/>
          <w:szCs w:val="32"/>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br w:type="page"/>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本部门2021年度收、支总计173.57万元。与2020年度决算相比，收支各增加39.27万元，增长29.24%，主要原因是项目经费上年度由上级单位拨付，未在本单位进行</w:t>
      </w:r>
      <w:r>
        <w:rPr>
          <w:rFonts w:hint="eastAsia" w:ascii="仿宋_GB2312" w:hAnsi="Times New Roman" w:eastAsia="仿宋_GB2312" w:cs="DengXian-Regular"/>
          <w:sz w:val="32"/>
          <w:szCs w:val="32"/>
          <w:highlight w:val="none"/>
        </w:rPr>
        <w:t>预决</w:t>
      </w:r>
      <w:r>
        <w:rPr>
          <w:rFonts w:hint="eastAsia" w:ascii="仿宋_GB2312" w:hAnsi="Times New Roman" w:eastAsia="仿宋_GB2312" w:cs="DengXian-Regular"/>
          <w:sz w:val="32"/>
          <w:szCs w:val="32"/>
          <w:highlight w:val="none"/>
          <w:lang w:val="en-US" w:eastAsia="zh-CN"/>
        </w:rPr>
        <w:t>算</w:t>
      </w:r>
      <w:r>
        <w:rPr>
          <w:rFonts w:hint="eastAsia" w:ascii="仿宋_GB2312" w:hAnsi="Times New Roman" w:eastAsia="仿宋_GB2312" w:cs="DengXian-Regular"/>
          <w:sz w:val="32"/>
          <w:szCs w:val="32"/>
        </w:rPr>
        <w:t>申报，本年度直接</w:t>
      </w:r>
      <w:r>
        <w:rPr>
          <w:rFonts w:hint="eastAsia" w:ascii="仿宋_GB2312" w:hAnsi="Times New Roman" w:eastAsia="仿宋_GB2312" w:cs="DengXian-Regular"/>
          <w:sz w:val="32"/>
          <w:szCs w:val="32"/>
          <w:lang w:eastAsia="zh-CN"/>
        </w:rPr>
        <w:t>列入</w:t>
      </w:r>
      <w:r>
        <w:rPr>
          <w:rFonts w:hint="eastAsia" w:ascii="仿宋_GB2312" w:hAnsi="Times New Roman" w:eastAsia="仿宋_GB2312" w:cs="DengXian-Regular"/>
          <w:sz w:val="32"/>
          <w:szCs w:val="32"/>
        </w:rPr>
        <w:t>本单位进行收支。</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lang w:eastAsia="zh-CN"/>
        </w:rPr>
        <w:t>如图所示：</w:t>
      </w: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lang w:eastAsia="zh-CN"/>
        </w:rPr>
      </w:pPr>
      <w:r>
        <w:rPr>
          <w:rFonts w:hint="eastAsia" w:ascii="仿宋_GB2312" w:hAnsi="Times New Roman" w:eastAsia="仿宋_GB2312" w:cs="DengXian-Regular"/>
          <w:sz w:val="32"/>
          <w:szCs w:val="32"/>
          <w:highlight w:val="yellow"/>
          <w:lang w:eastAsia="zh-CN"/>
        </w:rPr>
        <w:drawing>
          <wp:anchor distT="0" distB="0" distL="114300" distR="114300" simplePos="0" relativeHeight="251671552" behindDoc="0" locked="0" layoutInCell="1" allowOverlap="1">
            <wp:simplePos x="0" y="0"/>
            <wp:positionH relativeFrom="column">
              <wp:posOffset>618490</wp:posOffset>
            </wp:positionH>
            <wp:positionV relativeFrom="paragraph">
              <wp:posOffset>129540</wp:posOffset>
            </wp:positionV>
            <wp:extent cx="4144645" cy="2404745"/>
            <wp:effectExtent l="4445" t="4445" r="22860" b="1016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keepNext/>
        <w:keepLines/>
        <w:snapToGrid w:val="0"/>
        <w:spacing w:line="580" w:lineRule="exact"/>
        <w:ind w:firstLine="640" w:firstLineChars="200"/>
        <w:outlineLvl w:val="1"/>
        <w:rPr>
          <w:rFonts w:hint="eastAsia" w:ascii="黑体" w:hAnsi="Calibri" w:eastAsia="黑体" w:cs="Times New Roman"/>
          <w:sz w:val="32"/>
          <w:szCs w:val="32"/>
        </w:rPr>
      </w:pPr>
    </w:p>
    <w:p>
      <w:pPr>
        <w:keepNext/>
        <w:keepLines/>
        <w:snapToGrid w:val="0"/>
        <w:spacing w:line="580" w:lineRule="exact"/>
        <w:ind w:firstLine="640" w:firstLineChars="200"/>
        <w:outlineLvl w:val="1"/>
        <w:rPr>
          <w:rFonts w:hint="eastAsia" w:ascii="黑体" w:hAnsi="Calibri" w:eastAsia="黑体" w:cs="Times New Roman"/>
          <w:sz w:val="32"/>
          <w:szCs w:val="32"/>
        </w:rPr>
      </w:pPr>
    </w:p>
    <w:p>
      <w:pPr>
        <w:keepNext/>
        <w:keepLines/>
        <w:snapToGrid w:val="0"/>
        <w:spacing w:line="580" w:lineRule="exact"/>
        <w:ind w:firstLine="640" w:firstLineChars="200"/>
        <w:outlineLvl w:val="1"/>
        <w:rPr>
          <w:rFonts w:hint="eastAsia" w:ascii="黑体" w:hAnsi="Calibri" w:eastAsia="黑体" w:cs="Times New Roman"/>
          <w:sz w:val="32"/>
          <w:szCs w:val="32"/>
        </w:rPr>
      </w:pPr>
    </w:p>
    <w:p>
      <w:pPr>
        <w:keepNext/>
        <w:keepLines/>
        <w:snapToGrid w:val="0"/>
        <w:spacing w:line="580" w:lineRule="exact"/>
        <w:ind w:firstLine="640" w:firstLineChars="200"/>
        <w:outlineLvl w:val="1"/>
        <w:rPr>
          <w:rFonts w:hint="eastAsia" w:ascii="黑体" w:hAnsi="Calibri" w:eastAsia="黑体" w:cs="Times New Roman"/>
          <w:sz w:val="32"/>
          <w:szCs w:val="32"/>
        </w:rPr>
      </w:pPr>
    </w:p>
    <w:p>
      <w:pPr>
        <w:keepNext/>
        <w:keepLines/>
        <w:snapToGrid w:val="0"/>
        <w:spacing w:line="580" w:lineRule="exact"/>
        <w:ind w:firstLine="640" w:firstLineChars="200"/>
        <w:outlineLvl w:val="1"/>
        <w:rPr>
          <w:rFonts w:hint="eastAsia" w:ascii="黑体" w:hAnsi="Calibri" w:eastAsia="黑体" w:cs="Times New Roman"/>
          <w:sz w:val="32"/>
          <w:szCs w:val="32"/>
        </w:rPr>
      </w:pPr>
    </w:p>
    <w:p>
      <w:pPr>
        <w:keepNext/>
        <w:keepLines/>
        <w:snapToGrid w:val="0"/>
        <w:spacing w:line="580" w:lineRule="exact"/>
        <w:ind w:firstLine="640" w:firstLineChars="200"/>
        <w:outlineLvl w:val="1"/>
        <w:rPr>
          <w:rFonts w:hint="eastAsia" w:ascii="黑体" w:hAnsi="Calibri" w:eastAsia="黑体" w:cs="Times New Roman"/>
          <w:sz w:val="32"/>
          <w:szCs w:val="3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本部门2021年度收入合计152.57万元，其中：财政拨款收入151.2万元，占</w:t>
      </w:r>
      <w:r>
        <w:rPr>
          <w:rFonts w:hint="eastAsia" w:ascii="仿宋_GB2312" w:hAnsi="Times New Roman" w:eastAsia="仿宋_GB2312" w:cs="DengXian-Regular"/>
          <w:sz w:val="32"/>
          <w:szCs w:val="32"/>
          <w:lang w:val="en-US" w:eastAsia="zh-CN"/>
        </w:rPr>
        <w:t>99.1</w:t>
      </w:r>
      <w:r>
        <w:rPr>
          <w:rFonts w:hint="eastAsia" w:ascii="仿宋_GB2312" w:hAnsi="Times New Roman" w:eastAsia="仿宋_GB2312" w:cs="DengXian-Regular"/>
          <w:sz w:val="32"/>
          <w:szCs w:val="32"/>
        </w:rPr>
        <w:t>%；其他收入1.37万元，占</w:t>
      </w:r>
      <w:r>
        <w:rPr>
          <w:rFonts w:hint="eastAsia" w:ascii="仿宋_GB2312" w:hAnsi="Times New Roman" w:eastAsia="仿宋_GB2312" w:cs="DengXian-Regular"/>
          <w:sz w:val="32"/>
          <w:szCs w:val="32"/>
          <w:lang w:val="en-US" w:eastAsia="zh-CN"/>
        </w:rPr>
        <w:t>0.9</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lang w:eastAsia="zh-CN"/>
        </w:rPr>
        <w:t>如图所示：</w:t>
      </w:r>
    </w:p>
    <w:p>
      <w:pPr>
        <w:adjustRightInd w:val="0"/>
        <w:snapToGrid w:val="0"/>
        <w:spacing w:line="580" w:lineRule="exact"/>
        <w:ind w:firstLine="420" w:firstLineChars="200"/>
        <w:rPr>
          <w:rFonts w:hint="eastAsia" w:ascii="仿宋_GB2312" w:hAnsi="Times New Roman" w:eastAsia="仿宋_GB2312" w:cs="DengXian-Regular"/>
          <w:sz w:val="32"/>
          <w:szCs w:val="32"/>
          <w:lang w:eastAsia="zh-CN"/>
        </w:rPr>
      </w:pPr>
      <w:r>
        <w:drawing>
          <wp:anchor distT="0" distB="0" distL="114300" distR="114300" simplePos="0" relativeHeight="251672576" behindDoc="0" locked="0" layoutInCell="1" allowOverlap="1">
            <wp:simplePos x="0" y="0"/>
            <wp:positionH relativeFrom="column">
              <wp:posOffset>628015</wp:posOffset>
            </wp:positionH>
            <wp:positionV relativeFrom="paragraph">
              <wp:posOffset>78740</wp:posOffset>
            </wp:positionV>
            <wp:extent cx="4494530" cy="1877060"/>
            <wp:effectExtent l="4445" t="5080" r="15875" b="22860"/>
            <wp:wrapNone/>
            <wp:docPr id="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本部门2021年度支出合计121.03万元，其中：基本支出96.01万元，占</w:t>
      </w:r>
      <w:r>
        <w:rPr>
          <w:rFonts w:hint="eastAsia" w:ascii="仿宋_GB2312" w:hAnsi="Times New Roman" w:eastAsia="仿宋_GB2312" w:cs="DengXian-Regular"/>
          <w:sz w:val="32"/>
          <w:szCs w:val="32"/>
          <w:lang w:val="en-US" w:eastAsia="zh-CN"/>
        </w:rPr>
        <w:t>79.32</w:t>
      </w:r>
      <w:r>
        <w:rPr>
          <w:rFonts w:hint="eastAsia" w:ascii="仿宋_GB2312" w:hAnsi="Times New Roman" w:eastAsia="仿宋_GB2312" w:cs="DengXian-Regular"/>
          <w:sz w:val="32"/>
          <w:szCs w:val="32"/>
        </w:rPr>
        <w:t>%；项目支出25.03万元，占</w:t>
      </w:r>
      <w:r>
        <w:rPr>
          <w:rFonts w:hint="eastAsia" w:ascii="仿宋_GB2312" w:hAnsi="Times New Roman" w:eastAsia="仿宋_GB2312" w:cs="DengXian-Regular"/>
          <w:sz w:val="32"/>
          <w:szCs w:val="32"/>
          <w:lang w:val="en-US" w:eastAsia="zh-CN"/>
        </w:rPr>
        <w:t>20.68</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lang w:val="en-US" w:eastAsia="zh-CN"/>
        </w:rPr>
      </w:pPr>
      <w:r>
        <w:rPr>
          <w:rFonts w:hint="eastAsia" w:ascii="仿宋_GB2312" w:hAnsi="Times New Roman" w:eastAsia="仿宋_GB2312" w:cs="DengXian-Regular"/>
          <w:sz w:val="32"/>
          <w:szCs w:val="32"/>
          <w:lang w:eastAsia="zh-CN"/>
        </w:rPr>
        <w:t>如图所示：</w:t>
      </w: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lang w:eastAsia="zh-CN"/>
        </w:rPr>
      </w:pPr>
      <w:r>
        <w:rPr>
          <w:rFonts w:hint="eastAsia" w:ascii="仿宋_GB2312" w:hAnsi="Times New Roman" w:eastAsia="仿宋_GB2312" w:cs="DengXian-Regular"/>
          <w:sz w:val="32"/>
          <w:szCs w:val="32"/>
          <w:highlight w:val="yellow"/>
          <w:lang w:eastAsia="zh-CN"/>
        </w:rPr>
        <w:drawing>
          <wp:anchor distT="0" distB="0" distL="114300" distR="114300" simplePos="0" relativeHeight="251673600" behindDoc="0" locked="0" layoutInCell="1" allowOverlap="1">
            <wp:simplePos x="0" y="0"/>
            <wp:positionH relativeFrom="column">
              <wp:posOffset>1037590</wp:posOffset>
            </wp:positionH>
            <wp:positionV relativeFrom="paragraph">
              <wp:posOffset>53340</wp:posOffset>
            </wp:positionV>
            <wp:extent cx="3287395" cy="2233930"/>
            <wp:effectExtent l="4445" t="4445" r="22860" b="9525"/>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（一）财政拨款收支与2020年度决算对比情况</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w:t>
      </w:r>
      <w:r>
        <w:rPr>
          <w:rFonts w:hint="eastAsia" w:ascii="仿宋_GB2312" w:hAnsi="Times New Roman" w:eastAsia="仿宋_GB2312" w:cs="DengXian-Regular"/>
          <w:sz w:val="32"/>
          <w:szCs w:val="32"/>
          <w:highlight w:val="none"/>
        </w:rPr>
        <w:t>门2021年度财政拨款本年收入151.2万元,比2020年度增加54.04万元，增长55.62%，主要是</w:t>
      </w:r>
      <w:r>
        <w:rPr>
          <w:rFonts w:hint="eastAsia" w:ascii="仿宋_GB2312" w:hAnsi="Times New Roman" w:eastAsia="仿宋_GB2312" w:cs="DengXian-Regular"/>
          <w:sz w:val="32"/>
          <w:szCs w:val="32"/>
          <w:highlight w:val="none"/>
          <w:lang w:eastAsia="zh-CN"/>
        </w:rPr>
        <w:t>因</w:t>
      </w:r>
      <w:r>
        <w:rPr>
          <w:rFonts w:hint="eastAsia" w:ascii="仿宋_GB2312" w:hAnsi="Times New Roman" w:eastAsia="仿宋_GB2312" w:cs="DengXian-Regular"/>
          <w:sz w:val="32"/>
          <w:szCs w:val="32"/>
          <w:highlight w:val="none"/>
        </w:rPr>
        <w:t>为项目经费上年度由上级单位拨付，未在本单位进行预</w:t>
      </w:r>
      <w:r>
        <w:rPr>
          <w:rFonts w:hint="eastAsia" w:ascii="仿宋_GB2312" w:hAnsi="Times New Roman" w:eastAsia="仿宋_GB2312" w:cs="DengXian-Regular"/>
          <w:sz w:val="32"/>
          <w:szCs w:val="32"/>
          <w:highlight w:val="none"/>
          <w:lang w:eastAsia="zh-CN"/>
        </w:rPr>
        <w:t>决</w:t>
      </w:r>
      <w:r>
        <w:rPr>
          <w:rFonts w:hint="eastAsia" w:ascii="仿宋_GB2312" w:hAnsi="Times New Roman" w:eastAsia="仿宋_GB2312" w:cs="DengXian-Regular"/>
          <w:sz w:val="32"/>
          <w:szCs w:val="32"/>
          <w:highlight w:val="none"/>
        </w:rPr>
        <w:t>算申报，本年度直接</w:t>
      </w:r>
      <w:r>
        <w:rPr>
          <w:rFonts w:hint="eastAsia" w:ascii="仿宋_GB2312" w:hAnsi="Times New Roman" w:eastAsia="仿宋_GB2312" w:cs="DengXian-Regular"/>
          <w:sz w:val="32"/>
          <w:szCs w:val="32"/>
          <w:highlight w:val="none"/>
          <w:lang w:eastAsia="zh-CN"/>
        </w:rPr>
        <w:t>列入</w:t>
      </w:r>
      <w:r>
        <w:rPr>
          <w:rFonts w:hint="eastAsia" w:ascii="仿宋_GB2312" w:hAnsi="Times New Roman" w:eastAsia="仿宋_GB2312" w:cs="DengXian-Regular"/>
          <w:sz w:val="32"/>
          <w:szCs w:val="32"/>
          <w:highlight w:val="none"/>
        </w:rPr>
        <w:t>本单位进行收支</w:t>
      </w:r>
      <w:r>
        <w:rPr>
          <w:rFonts w:hint="eastAsia" w:ascii="仿宋_GB2312" w:hAnsi="Times New Roman" w:eastAsia="仿宋_GB2312" w:cs="DengXian-Regular"/>
          <w:sz w:val="32"/>
          <w:szCs w:val="32"/>
          <w:highlight w:val="none"/>
          <w:lang w:eastAsia="zh-CN"/>
        </w:rPr>
        <w:t>，</w:t>
      </w:r>
      <w:r>
        <w:rPr>
          <w:rFonts w:hint="eastAsia" w:ascii="仿宋_GB2312" w:hAnsi="Times New Roman" w:eastAsia="仿宋_GB2312" w:cs="DengXian-Regular"/>
          <w:sz w:val="32"/>
          <w:szCs w:val="32"/>
          <w:highlight w:val="none"/>
          <w:lang w:val="en-US" w:eastAsia="zh-CN"/>
        </w:rPr>
        <w:t xml:space="preserve"> </w:t>
      </w:r>
      <w:r>
        <w:rPr>
          <w:rFonts w:hint="eastAsia" w:ascii="仿宋_GB2312" w:hAnsi="Times New Roman" w:eastAsia="仿宋_GB2312" w:cs="DengXian-Regular"/>
          <w:sz w:val="32"/>
          <w:szCs w:val="32"/>
          <w:highlight w:val="none"/>
          <w:lang w:eastAsia="zh-CN"/>
        </w:rPr>
        <w:t>以及</w:t>
      </w:r>
      <w:r>
        <w:rPr>
          <w:rFonts w:hint="eastAsia" w:ascii="仿宋_GB2312" w:hAnsi="Times New Roman" w:eastAsia="仿宋_GB2312" w:cs="DengXian-Regular"/>
          <w:sz w:val="32"/>
          <w:szCs w:val="32"/>
          <w:highlight w:val="none"/>
          <w:lang w:val="en-US" w:eastAsia="zh-CN"/>
        </w:rPr>
        <w:t>本年度追加死亡抚恤金、增加的人员工资、奖金及社会保障费用</w:t>
      </w:r>
      <w:r>
        <w:rPr>
          <w:rFonts w:hint="eastAsia" w:ascii="仿宋_GB2312" w:hAnsi="Times New Roman" w:eastAsia="仿宋_GB2312" w:cs="DengXian-Regular"/>
          <w:sz w:val="32"/>
          <w:szCs w:val="32"/>
          <w:highlight w:val="none"/>
        </w:rPr>
        <w:t>。本年支出121.01万元，增加19.39万元，增长19.09%，主要是</w:t>
      </w:r>
      <w:r>
        <w:rPr>
          <w:rFonts w:hint="eastAsia" w:ascii="仿宋_GB2312" w:hAnsi="Times New Roman" w:eastAsia="仿宋_GB2312" w:cs="DengXian-Regular"/>
          <w:sz w:val="32"/>
          <w:szCs w:val="32"/>
          <w:highlight w:val="none"/>
          <w:lang w:eastAsia="zh-CN"/>
        </w:rPr>
        <w:t>因</w:t>
      </w:r>
      <w:r>
        <w:rPr>
          <w:rFonts w:hint="eastAsia" w:ascii="仿宋_GB2312" w:hAnsi="Times New Roman" w:eastAsia="仿宋_GB2312" w:cs="DengXian-Regular"/>
          <w:sz w:val="32"/>
          <w:szCs w:val="32"/>
          <w:highlight w:val="none"/>
        </w:rPr>
        <w:t>为项目经费上年度由上级单位拨付，未在本单位进行预</w:t>
      </w:r>
      <w:r>
        <w:rPr>
          <w:rFonts w:hint="eastAsia" w:ascii="仿宋_GB2312" w:hAnsi="Times New Roman" w:eastAsia="仿宋_GB2312" w:cs="DengXian-Regular"/>
          <w:sz w:val="32"/>
          <w:szCs w:val="32"/>
          <w:highlight w:val="none"/>
          <w:lang w:eastAsia="zh-CN"/>
        </w:rPr>
        <w:t>决</w:t>
      </w:r>
      <w:r>
        <w:rPr>
          <w:rFonts w:hint="eastAsia" w:ascii="仿宋_GB2312" w:hAnsi="Times New Roman" w:eastAsia="仿宋_GB2312" w:cs="DengXian-Regular"/>
          <w:sz w:val="32"/>
          <w:szCs w:val="32"/>
          <w:highlight w:val="none"/>
        </w:rPr>
        <w:t>算申报，本年度直接</w:t>
      </w:r>
      <w:r>
        <w:rPr>
          <w:rFonts w:hint="eastAsia" w:ascii="仿宋_GB2312" w:hAnsi="Times New Roman" w:eastAsia="仿宋_GB2312" w:cs="DengXian-Regular"/>
          <w:sz w:val="32"/>
          <w:szCs w:val="32"/>
          <w:highlight w:val="none"/>
          <w:lang w:eastAsia="zh-CN"/>
        </w:rPr>
        <w:t>列入</w:t>
      </w:r>
      <w:r>
        <w:rPr>
          <w:rFonts w:hint="eastAsia" w:ascii="仿宋_GB2312" w:hAnsi="Times New Roman" w:eastAsia="仿宋_GB2312" w:cs="DengXian-Regular"/>
          <w:sz w:val="32"/>
          <w:szCs w:val="32"/>
          <w:highlight w:val="none"/>
        </w:rPr>
        <w:t>本单位进行收支</w:t>
      </w:r>
      <w:r>
        <w:rPr>
          <w:rFonts w:hint="eastAsia" w:ascii="仿宋_GB2312" w:hAnsi="Times New Roman" w:eastAsia="仿宋_GB2312" w:cs="DengXian-Regular"/>
          <w:sz w:val="32"/>
          <w:szCs w:val="32"/>
          <w:highlight w:val="none"/>
          <w:lang w:eastAsia="zh-CN"/>
        </w:rPr>
        <w:t>，以及</w:t>
      </w:r>
      <w:r>
        <w:rPr>
          <w:rFonts w:hint="eastAsia" w:ascii="仿宋_GB2312" w:hAnsi="Times New Roman" w:eastAsia="仿宋_GB2312" w:cs="DengXian-Regular"/>
          <w:sz w:val="32"/>
          <w:szCs w:val="32"/>
          <w:highlight w:val="none"/>
          <w:lang w:val="en-US" w:eastAsia="zh-CN"/>
        </w:rPr>
        <w:t>增加的人员工资、奖金及社会保障费用</w:t>
      </w:r>
      <w:r>
        <w:rPr>
          <w:rFonts w:hint="eastAsia" w:ascii="仿宋_GB2312" w:hAnsi="Times New Roman" w:eastAsia="仿宋_GB2312" w:cs="DengXian-Regular"/>
          <w:sz w:val="32"/>
          <w:szCs w:val="32"/>
          <w:highlight w:val="none"/>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一般公共预算</w:t>
      </w:r>
      <w:r>
        <w:rPr>
          <w:rFonts w:hint="eastAsia" w:ascii="仿宋_GB2312" w:hAnsi="Times New Roman" w:eastAsia="仿宋_GB2312" w:cs="DengXian-Regular"/>
          <w:sz w:val="32"/>
          <w:szCs w:val="32"/>
          <w:highlight w:val="none"/>
        </w:rPr>
        <w:t>财政拨款本年收入151.2万元，比上年增加54.04万元</w:t>
      </w:r>
      <w:r>
        <w:rPr>
          <w:rFonts w:hint="eastAsia" w:ascii="仿宋_GB2312" w:hAnsi="Times New Roman" w:eastAsia="仿宋_GB2312" w:cs="DengXian-Regular"/>
          <w:sz w:val="32"/>
          <w:szCs w:val="32"/>
          <w:highlight w:val="none"/>
          <w:lang w:eastAsia="zh-CN"/>
        </w:rPr>
        <w:t>，</w:t>
      </w:r>
      <w:r>
        <w:rPr>
          <w:rFonts w:hint="eastAsia" w:ascii="仿宋_GB2312" w:hAnsi="Times New Roman" w:eastAsia="仿宋_GB2312" w:cs="DengXian-Regular"/>
          <w:sz w:val="32"/>
          <w:szCs w:val="32"/>
          <w:highlight w:val="none"/>
        </w:rPr>
        <w:t>主要是</w:t>
      </w:r>
      <w:r>
        <w:rPr>
          <w:rFonts w:hint="eastAsia" w:ascii="仿宋_GB2312" w:hAnsi="Times New Roman" w:eastAsia="仿宋_GB2312" w:cs="DengXian-Regular"/>
          <w:sz w:val="32"/>
          <w:szCs w:val="32"/>
          <w:highlight w:val="none"/>
          <w:lang w:eastAsia="zh-CN"/>
        </w:rPr>
        <w:t>因</w:t>
      </w:r>
      <w:r>
        <w:rPr>
          <w:rFonts w:hint="eastAsia" w:ascii="仿宋_GB2312" w:hAnsi="Times New Roman" w:eastAsia="仿宋_GB2312" w:cs="DengXian-Regular"/>
          <w:sz w:val="32"/>
          <w:szCs w:val="32"/>
          <w:highlight w:val="none"/>
        </w:rPr>
        <w:t>为项目经费上年度由上级单位拨付，未在本单位进行预</w:t>
      </w:r>
      <w:r>
        <w:rPr>
          <w:rFonts w:hint="eastAsia" w:ascii="仿宋_GB2312" w:hAnsi="Times New Roman" w:eastAsia="仿宋_GB2312" w:cs="DengXian-Regular"/>
          <w:sz w:val="32"/>
          <w:szCs w:val="32"/>
          <w:highlight w:val="none"/>
          <w:lang w:eastAsia="zh-CN"/>
        </w:rPr>
        <w:t>决</w:t>
      </w:r>
      <w:r>
        <w:rPr>
          <w:rFonts w:hint="eastAsia" w:ascii="仿宋_GB2312" w:hAnsi="Times New Roman" w:eastAsia="仿宋_GB2312" w:cs="DengXian-Regular"/>
          <w:sz w:val="32"/>
          <w:szCs w:val="32"/>
          <w:highlight w:val="none"/>
        </w:rPr>
        <w:t>算申报，本年度直接</w:t>
      </w:r>
      <w:r>
        <w:rPr>
          <w:rFonts w:hint="eastAsia" w:ascii="仿宋_GB2312" w:hAnsi="Times New Roman" w:eastAsia="仿宋_GB2312" w:cs="DengXian-Regular"/>
          <w:sz w:val="32"/>
          <w:szCs w:val="32"/>
          <w:highlight w:val="none"/>
          <w:lang w:eastAsia="zh-CN"/>
        </w:rPr>
        <w:t>列入</w:t>
      </w:r>
      <w:r>
        <w:rPr>
          <w:rFonts w:hint="eastAsia" w:ascii="仿宋_GB2312" w:hAnsi="Times New Roman" w:eastAsia="仿宋_GB2312" w:cs="DengXian-Regular"/>
          <w:sz w:val="32"/>
          <w:szCs w:val="32"/>
          <w:highlight w:val="none"/>
        </w:rPr>
        <w:t>本单位进行收支</w:t>
      </w:r>
      <w:r>
        <w:rPr>
          <w:rFonts w:hint="eastAsia" w:ascii="仿宋_GB2312" w:hAnsi="Times New Roman" w:eastAsia="仿宋_GB2312" w:cs="DengXian-Regular"/>
          <w:sz w:val="32"/>
          <w:szCs w:val="32"/>
          <w:highlight w:val="none"/>
          <w:lang w:eastAsia="zh-CN"/>
        </w:rPr>
        <w:t>，以及</w:t>
      </w:r>
      <w:r>
        <w:rPr>
          <w:rFonts w:hint="eastAsia" w:ascii="仿宋_GB2312" w:hAnsi="Times New Roman" w:eastAsia="仿宋_GB2312" w:cs="DengXian-Regular"/>
          <w:sz w:val="32"/>
          <w:szCs w:val="32"/>
          <w:highlight w:val="none"/>
          <w:lang w:val="en-US" w:eastAsia="zh-CN"/>
        </w:rPr>
        <w:t>本年度追加死亡抚恤金和增加的人员工资、奖金及社会保障费用。</w:t>
      </w:r>
      <w:r>
        <w:rPr>
          <w:rFonts w:hint="eastAsia" w:ascii="仿宋_GB2312" w:hAnsi="Times New Roman" w:eastAsia="仿宋_GB2312" w:cs="DengXian-Regular"/>
          <w:sz w:val="32"/>
          <w:szCs w:val="32"/>
          <w:highlight w:val="none"/>
        </w:rPr>
        <w:t>本年支出121.01万元，比上年增加19.39万元，增长19.09%，主要是</w:t>
      </w:r>
      <w:r>
        <w:rPr>
          <w:rFonts w:hint="eastAsia" w:ascii="仿宋_GB2312" w:hAnsi="Times New Roman" w:eastAsia="仿宋_GB2312" w:cs="DengXian-Regular"/>
          <w:sz w:val="32"/>
          <w:szCs w:val="32"/>
          <w:highlight w:val="none"/>
          <w:lang w:eastAsia="zh-CN"/>
        </w:rPr>
        <w:t>因</w:t>
      </w:r>
      <w:r>
        <w:rPr>
          <w:rFonts w:hint="eastAsia" w:ascii="仿宋_GB2312" w:hAnsi="Times New Roman" w:eastAsia="仿宋_GB2312" w:cs="DengXian-Regular"/>
          <w:sz w:val="32"/>
          <w:szCs w:val="32"/>
          <w:highlight w:val="none"/>
        </w:rPr>
        <w:t>为项目经费上年度由上级单位拨付，未在本单位进行预</w:t>
      </w:r>
      <w:r>
        <w:rPr>
          <w:rFonts w:hint="eastAsia" w:ascii="仿宋_GB2312" w:hAnsi="Times New Roman" w:eastAsia="仿宋_GB2312" w:cs="DengXian-Regular"/>
          <w:sz w:val="32"/>
          <w:szCs w:val="32"/>
          <w:highlight w:val="none"/>
          <w:lang w:eastAsia="zh-CN"/>
        </w:rPr>
        <w:t>决</w:t>
      </w:r>
      <w:r>
        <w:rPr>
          <w:rFonts w:hint="eastAsia" w:ascii="仿宋_GB2312" w:hAnsi="Times New Roman" w:eastAsia="仿宋_GB2312" w:cs="DengXian-Regular"/>
          <w:sz w:val="32"/>
          <w:szCs w:val="32"/>
          <w:highlight w:val="none"/>
        </w:rPr>
        <w:t>算申报，本年度直接</w:t>
      </w:r>
      <w:r>
        <w:rPr>
          <w:rFonts w:hint="eastAsia" w:ascii="仿宋_GB2312" w:hAnsi="Times New Roman" w:eastAsia="仿宋_GB2312" w:cs="DengXian-Regular"/>
          <w:sz w:val="32"/>
          <w:szCs w:val="32"/>
          <w:highlight w:val="none"/>
          <w:lang w:eastAsia="zh-CN"/>
        </w:rPr>
        <w:t>列入</w:t>
      </w:r>
      <w:r>
        <w:rPr>
          <w:rFonts w:hint="eastAsia" w:ascii="仿宋_GB2312" w:hAnsi="Times New Roman" w:eastAsia="仿宋_GB2312" w:cs="DengXian-Regular"/>
          <w:sz w:val="32"/>
          <w:szCs w:val="32"/>
          <w:highlight w:val="none"/>
        </w:rPr>
        <w:t>本单位进行收支</w:t>
      </w:r>
      <w:r>
        <w:rPr>
          <w:rFonts w:hint="eastAsia" w:ascii="仿宋_GB2312" w:hAnsi="Times New Roman" w:eastAsia="仿宋_GB2312" w:cs="DengXian-Regular"/>
          <w:sz w:val="32"/>
          <w:szCs w:val="32"/>
          <w:highlight w:val="none"/>
          <w:lang w:eastAsia="zh-CN"/>
        </w:rPr>
        <w:t>，以及</w:t>
      </w:r>
      <w:r>
        <w:rPr>
          <w:rFonts w:hint="eastAsia" w:ascii="仿宋_GB2312" w:hAnsi="Times New Roman" w:eastAsia="仿宋_GB2312" w:cs="DengXian-Regular"/>
          <w:sz w:val="32"/>
          <w:szCs w:val="32"/>
          <w:highlight w:val="none"/>
          <w:lang w:val="en-US" w:eastAsia="zh-CN"/>
        </w:rPr>
        <w:t>增加的人员工资、奖金及社会保障费用</w:t>
      </w:r>
      <w:r>
        <w:rPr>
          <w:rFonts w:hint="eastAsia" w:ascii="仿宋_GB2312" w:hAnsi="Times New Roman" w:eastAsia="仿宋_GB2312" w:cs="DengXian-Regular"/>
          <w:sz w:val="32"/>
          <w:szCs w:val="32"/>
          <w:highlight w:val="none"/>
        </w:rPr>
        <w:t>。</w:t>
      </w:r>
    </w:p>
    <w:p>
      <w:pPr>
        <w:adjustRightInd w:val="0"/>
        <w:snapToGrid w:val="0"/>
        <w:spacing w:line="580" w:lineRule="exact"/>
        <w:ind w:firstLine="640" w:firstLineChars="200"/>
        <w:rPr>
          <w:rFonts w:hint="eastAsia" w:ascii="仿宋_GB2312" w:hAnsi="Times New Roman" w:eastAsia="仿宋_GB2312" w:cs="DengXian-Regular"/>
          <w:sz w:val="32"/>
          <w:szCs w:val="32"/>
          <w:highlight w:val="none"/>
          <w:lang w:eastAsia="zh-CN"/>
        </w:rPr>
      </w:pPr>
      <w:r>
        <w:rPr>
          <w:rFonts w:hint="eastAsia" w:ascii="仿宋_GB2312" w:hAnsi="Times New Roman" w:eastAsia="仿宋_GB2312" w:cs="DengXian-Regular"/>
          <w:sz w:val="32"/>
          <w:szCs w:val="32"/>
          <w:highlight w:val="none"/>
          <w:lang w:eastAsia="zh-CN"/>
        </w:rPr>
        <w:t>如图所示：</w:t>
      </w: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highlight w:val="yellow"/>
          <w:lang w:eastAsia="zh-CN"/>
        </w:rPr>
        <w:drawing>
          <wp:anchor distT="0" distB="0" distL="114300" distR="114300" simplePos="0" relativeHeight="251674624" behindDoc="0" locked="0" layoutInCell="1" allowOverlap="1">
            <wp:simplePos x="0" y="0"/>
            <wp:positionH relativeFrom="column">
              <wp:posOffset>456565</wp:posOffset>
            </wp:positionH>
            <wp:positionV relativeFrom="paragraph">
              <wp:posOffset>183515</wp:posOffset>
            </wp:positionV>
            <wp:extent cx="4248785" cy="2385695"/>
            <wp:effectExtent l="5080" t="5080" r="13335" b="9525"/>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本部门2021年度财政拨款本年收入151.2万元，完成年初预算的116.63%,比年初预算增加21.55万元，决算数大于预算数主要</w:t>
      </w:r>
      <w:r>
        <w:rPr>
          <w:rFonts w:hint="eastAsia" w:ascii="仿宋_GB2312" w:hAnsi="Times New Roman" w:eastAsia="仿宋_GB2312" w:cs="DengXian-Regular"/>
          <w:sz w:val="32"/>
          <w:szCs w:val="32"/>
          <w:highlight w:val="none"/>
        </w:rPr>
        <w:t>原因是</w:t>
      </w:r>
      <w:r>
        <w:rPr>
          <w:rFonts w:hint="eastAsia" w:ascii="仿宋_GB2312" w:hAnsi="Times New Roman" w:eastAsia="仿宋_GB2312" w:cs="DengXian-Regular"/>
          <w:sz w:val="32"/>
          <w:szCs w:val="32"/>
          <w:highlight w:val="none"/>
          <w:lang w:val="en-US" w:eastAsia="zh-CN"/>
        </w:rPr>
        <w:t>本年度追加死亡抚恤金、调剂增加项目经费和增加的人员工资及社会保障费用</w:t>
      </w:r>
      <w:r>
        <w:rPr>
          <w:rFonts w:hint="eastAsia" w:ascii="仿宋_GB2312" w:hAnsi="Times New Roman" w:eastAsia="仿宋_GB2312" w:cs="DengXian-Regular"/>
          <w:sz w:val="32"/>
          <w:szCs w:val="32"/>
          <w:highlight w:val="none"/>
        </w:rPr>
        <w:t>；本年支出121.01万元，完成年初预算的93.34%,比年初预算减少8.64万元，决算数小于预算数主要原因是</w:t>
      </w:r>
      <w:r>
        <w:rPr>
          <w:rFonts w:hint="eastAsia" w:ascii="仿宋_GB2312" w:hAnsi="Times New Roman" w:eastAsia="仿宋_GB2312" w:cs="DengXian-Regular"/>
          <w:sz w:val="32"/>
          <w:szCs w:val="32"/>
          <w:highlight w:val="none"/>
          <w:lang w:eastAsia="zh-CN"/>
        </w:rPr>
        <w:t>结转至下年度支付绩效奖金</w:t>
      </w:r>
      <w:r>
        <w:rPr>
          <w:rFonts w:hint="eastAsia" w:ascii="仿宋_GB2312" w:hAnsi="Times New Roman" w:eastAsia="仿宋_GB2312" w:cs="DengXian-Regular"/>
          <w:sz w:val="32"/>
          <w:szCs w:val="32"/>
          <w:lang w:eastAsia="zh-CN"/>
        </w:rPr>
        <w:t>增加和在职死亡人员工资及社会保障费用的减少</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hint="eastAsia" w:ascii="仿宋_GB2312" w:hAnsi="Times New Roman" w:eastAsia="仿宋_GB2312" w:cs="DengXian-Regular"/>
          <w:sz w:val="32"/>
          <w:szCs w:val="32"/>
          <w:highlight w:val="none"/>
          <w:lang w:eastAsia="zh-CN"/>
        </w:rPr>
      </w:pPr>
      <w:r>
        <w:rPr>
          <w:rFonts w:hint="eastAsia" w:ascii="仿宋_GB2312" w:hAnsi="Times New Roman" w:eastAsia="仿宋_GB2312" w:cs="DengXian-Regular"/>
          <w:sz w:val="32"/>
          <w:szCs w:val="32"/>
        </w:rPr>
        <w:t>一般公共预算财政拨</w:t>
      </w:r>
      <w:r>
        <w:rPr>
          <w:rFonts w:hint="eastAsia" w:ascii="仿宋_GB2312" w:hAnsi="Times New Roman" w:eastAsia="仿宋_GB2312" w:cs="DengXian-Regular"/>
          <w:sz w:val="32"/>
          <w:szCs w:val="32"/>
          <w:highlight w:val="none"/>
        </w:rPr>
        <w:t>款本年收入完成年初预算116.63%，比年初预算增加21.55万元，主要是</w:t>
      </w:r>
      <w:r>
        <w:rPr>
          <w:rFonts w:hint="eastAsia" w:ascii="仿宋_GB2312" w:hAnsi="Times New Roman" w:eastAsia="仿宋_GB2312" w:cs="DengXian-Regular"/>
          <w:sz w:val="32"/>
          <w:szCs w:val="32"/>
          <w:highlight w:val="none"/>
          <w:lang w:val="en-US" w:eastAsia="zh-CN"/>
        </w:rPr>
        <w:t>本年度追加死亡抚恤金、调剂增加项目经费和增加的人员工资及社会保障费用。</w:t>
      </w:r>
      <w:r>
        <w:rPr>
          <w:rFonts w:hint="eastAsia" w:ascii="仿宋_GB2312" w:hAnsi="Times New Roman" w:eastAsia="仿宋_GB2312" w:cs="DengXian-Regular"/>
          <w:sz w:val="32"/>
          <w:szCs w:val="32"/>
          <w:highlight w:val="none"/>
        </w:rPr>
        <w:t>支出完成年初预算93.34%，比年初预算减少8.64万元，主要是</w:t>
      </w:r>
      <w:r>
        <w:rPr>
          <w:rFonts w:hint="eastAsia" w:ascii="仿宋_GB2312" w:hAnsi="Times New Roman" w:eastAsia="仿宋_GB2312" w:cs="DengXian-Regular"/>
          <w:sz w:val="32"/>
          <w:szCs w:val="32"/>
          <w:highlight w:val="none"/>
          <w:lang w:eastAsia="zh-CN"/>
        </w:rPr>
        <w:t>结转至下年度支付绩效奖金增加和在职死亡人员工资及社会保障费用的减少</w:t>
      </w:r>
      <w:r>
        <w:rPr>
          <w:rFonts w:hint="eastAsia" w:ascii="仿宋_GB2312" w:hAnsi="Times New Roman" w:eastAsia="仿宋_GB2312" w:cs="DengXian-Regular"/>
          <w:sz w:val="32"/>
          <w:szCs w:val="32"/>
          <w:highlight w:val="none"/>
        </w:rPr>
        <w:t>。</w:t>
      </w:r>
    </w:p>
    <w:p>
      <w:pPr>
        <w:adjustRightInd w:val="0"/>
        <w:snapToGrid w:val="0"/>
        <w:spacing w:line="580" w:lineRule="exact"/>
        <w:ind w:firstLine="640" w:firstLineChars="200"/>
        <w:rPr>
          <w:rFonts w:hint="eastAsia" w:ascii="仿宋_GB2312" w:hAnsi="Times New Roman" w:eastAsia="仿宋_GB2312" w:cs="DengXian-Regular"/>
          <w:sz w:val="32"/>
          <w:szCs w:val="32"/>
          <w:highlight w:val="none"/>
          <w:lang w:eastAsia="zh-CN"/>
        </w:rPr>
      </w:pPr>
      <w:r>
        <w:rPr>
          <w:rFonts w:hint="eastAsia" w:ascii="仿宋_GB2312" w:hAnsi="Times New Roman" w:eastAsia="仿宋_GB2312" w:cs="DengXian-Regular"/>
          <w:sz w:val="32"/>
          <w:szCs w:val="32"/>
          <w:highlight w:val="none"/>
          <w:lang w:eastAsia="zh-CN"/>
        </w:rPr>
        <w:t>如图所示：</w:t>
      </w:r>
    </w:p>
    <w:p>
      <w:pPr>
        <w:adjustRightInd w:val="0"/>
        <w:snapToGrid w:val="0"/>
        <w:spacing w:line="580" w:lineRule="exact"/>
        <w:ind w:firstLine="640" w:firstLineChars="200"/>
        <w:rPr>
          <w:rFonts w:hint="eastAsia" w:ascii="仿宋_GB2312" w:hAnsi="Times New Roman" w:eastAsia="仿宋_GB2312" w:cs="DengXian-Regular"/>
          <w:sz w:val="32"/>
          <w:szCs w:val="32"/>
          <w:highlight w:val="none"/>
          <w:lang w:eastAsia="zh-CN"/>
        </w:rPr>
      </w:pPr>
      <w:r>
        <w:rPr>
          <w:rFonts w:hint="eastAsia" w:ascii="仿宋_GB2312" w:hAnsi="Times New Roman" w:eastAsia="仿宋_GB2312" w:cs="DengXian-Regular"/>
          <w:sz w:val="32"/>
          <w:szCs w:val="32"/>
          <w:highlight w:val="yellow"/>
          <w:lang w:eastAsia="zh-CN"/>
        </w:rPr>
        <w:drawing>
          <wp:anchor distT="0" distB="0" distL="114300" distR="114300" simplePos="0" relativeHeight="251675648" behindDoc="0" locked="0" layoutInCell="1" allowOverlap="1">
            <wp:simplePos x="0" y="0"/>
            <wp:positionH relativeFrom="column">
              <wp:posOffset>770890</wp:posOffset>
            </wp:positionH>
            <wp:positionV relativeFrom="paragraph">
              <wp:posOffset>158115</wp:posOffset>
            </wp:positionV>
            <wp:extent cx="4144645" cy="2404745"/>
            <wp:effectExtent l="4445" t="4445" r="22860" b="10160"/>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2021 年度财政拨款支出121.01万元，主要用于以下方面</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Wingdings"/>
          <w:sz w:val="32"/>
          <w:szCs w:val="32"/>
        </w:rPr>
        <w:t>社会保障和就业</w:t>
      </w:r>
      <w:r>
        <w:rPr>
          <w:rFonts w:hint="eastAsia" w:ascii="仿宋_GB2312" w:hAnsi="Times New Roman" w:eastAsia="仿宋_GB2312" w:cs="DengXian-Regular"/>
          <w:sz w:val="32"/>
          <w:szCs w:val="32"/>
        </w:rPr>
        <w:t>（类）支出14.38万元，占</w:t>
      </w:r>
      <w:r>
        <w:rPr>
          <w:rFonts w:hint="eastAsia" w:ascii="仿宋_GB2312" w:hAnsi="Times New Roman" w:eastAsia="仿宋_GB2312" w:cs="DengXian-Regular"/>
          <w:sz w:val="32"/>
          <w:szCs w:val="32"/>
          <w:lang w:val="en-US" w:eastAsia="zh-CN"/>
        </w:rPr>
        <w:t>11.88</w:t>
      </w:r>
      <w:r>
        <w:rPr>
          <w:rFonts w:hint="eastAsia" w:ascii="仿宋_GB2312" w:hAnsi="Times New Roman" w:eastAsia="仿宋_GB2312" w:cs="DengXian-Regular"/>
          <w:sz w:val="32"/>
          <w:szCs w:val="32"/>
        </w:rPr>
        <w:t>%，主要用于</w:t>
      </w:r>
      <w:r>
        <w:rPr>
          <w:rFonts w:hint="eastAsia" w:ascii="仿宋_GB2312" w:hAnsi="Times New Roman" w:eastAsia="仿宋_GB2312" w:cs="DengXian-Regular"/>
          <w:sz w:val="32"/>
          <w:szCs w:val="32"/>
          <w:lang w:val="en-US" w:eastAsia="zh-CN"/>
        </w:rPr>
        <w:t>人员养老保险及离退休老干部人员及公用经费等</w:t>
      </w:r>
      <w:r>
        <w:rPr>
          <w:rFonts w:hint="eastAsia" w:ascii="仿宋_GB2312" w:hAnsi="Times New Roman" w:eastAsia="仿宋_GB2312" w:cs="DengXian-Regular"/>
          <w:sz w:val="32"/>
          <w:szCs w:val="32"/>
        </w:rPr>
        <w:t>支出；卫生健康（类）支出0.47万元，占</w:t>
      </w:r>
      <w:r>
        <w:rPr>
          <w:rFonts w:hint="eastAsia" w:ascii="仿宋_GB2312" w:hAnsi="Times New Roman" w:eastAsia="仿宋_GB2312" w:cs="DengXian-Regular"/>
          <w:sz w:val="32"/>
          <w:szCs w:val="32"/>
          <w:lang w:val="en-US" w:eastAsia="zh-CN"/>
        </w:rPr>
        <w:t>0.39</w:t>
      </w:r>
      <w:r>
        <w:rPr>
          <w:rFonts w:hint="eastAsia" w:ascii="仿宋_GB2312" w:hAnsi="Times New Roman" w:eastAsia="仿宋_GB2312" w:cs="DengXian-Regular"/>
          <w:sz w:val="32"/>
          <w:szCs w:val="32"/>
        </w:rPr>
        <w:t>%，主要用于</w:t>
      </w:r>
      <w:r>
        <w:rPr>
          <w:rFonts w:hint="eastAsia" w:ascii="仿宋_GB2312" w:hAnsi="Times New Roman" w:eastAsia="仿宋_GB2312" w:cs="DengXian-Regular"/>
          <w:sz w:val="32"/>
          <w:szCs w:val="32"/>
          <w:lang w:eastAsia="zh-CN"/>
        </w:rPr>
        <w:t>人员工伤及医疗保险费支出</w:t>
      </w:r>
      <w:r>
        <w:rPr>
          <w:rFonts w:hint="eastAsia" w:ascii="仿宋_GB2312" w:hAnsi="Times New Roman" w:eastAsia="仿宋_GB2312" w:cs="DengXian-Regular"/>
          <w:sz w:val="32"/>
          <w:szCs w:val="32"/>
        </w:rPr>
        <w:t>等支出；住房保障（类）支出7万元，占</w:t>
      </w:r>
      <w:r>
        <w:rPr>
          <w:rFonts w:hint="eastAsia" w:ascii="仿宋_GB2312" w:hAnsi="Times New Roman" w:eastAsia="仿宋_GB2312" w:cs="DengXian-Regular"/>
          <w:sz w:val="32"/>
          <w:szCs w:val="32"/>
          <w:lang w:val="en-US" w:eastAsia="zh-CN"/>
        </w:rPr>
        <w:t>5.79</w:t>
      </w:r>
      <w:r>
        <w:rPr>
          <w:rFonts w:hint="eastAsia" w:ascii="仿宋_GB2312" w:hAnsi="Times New Roman" w:eastAsia="仿宋_GB2312" w:cs="DengXian-Regular"/>
          <w:sz w:val="32"/>
          <w:szCs w:val="32"/>
        </w:rPr>
        <w:t>%，主要用于</w:t>
      </w:r>
      <w:r>
        <w:rPr>
          <w:rFonts w:hint="eastAsia" w:ascii="仿宋_GB2312" w:hAnsi="Times New Roman" w:eastAsia="仿宋_GB2312" w:cs="DengXian-Regular"/>
          <w:sz w:val="32"/>
          <w:szCs w:val="32"/>
          <w:lang w:eastAsia="zh-CN"/>
        </w:rPr>
        <w:t>住房公积金</w:t>
      </w:r>
      <w:r>
        <w:rPr>
          <w:rFonts w:hint="eastAsia" w:ascii="仿宋_GB2312" w:hAnsi="Times New Roman" w:eastAsia="仿宋_GB2312" w:cs="DengXian-Regular"/>
          <w:sz w:val="32"/>
          <w:szCs w:val="32"/>
        </w:rPr>
        <w:t xml:space="preserve">支出；粮油物资储备（类）支出99.15万元，占 </w:t>
      </w:r>
      <w:r>
        <w:rPr>
          <w:rFonts w:hint="eastAsia" w:ascii="仿宋_GB2312" w:hAnsi="Times New Roman" w:eastAsia="仿宋_GB2312" w:cs="DengXian-Regular"/>
          <w:sz w:val="32"/>
          <w:szCs w:val="32"/>
          <w:lang w:val="en-US" w:eastAsia="zh-CN"/>
        </w:rPr>
        <w:t>81.94</w:t>
      </w:r>
      <w:r>
        <w:rPr>
          <w:rFonts w:hint="eastAsia" w:ascii="仿宋_GB2312" w:hAnsi="Times New Roman" w:eastAsia="仿宋_GB2312" w:cs="DengXian-Regular"/>
          <w:sz w:val="32"/>
          <w:szCs w:val="32"/>
        </w:rPr>
        <w:t>%，主要用于</w:t>
      </w:r>
      <w:r>
        <w:rPr>
          <w:rFonts w:hint="eastAsia" w:ascii="仿宋_GB2312" w:hAnsi="Times New Roman" w:eastAsia="仿宋_GB2312" w:cs="DengXian-Regular"/>
          <w:sz w:val="32"/>
          <w:szCs w:val="32"/>
          <w:lang w:eastAsia="zh-CN"/>
        </w:rPr>
        <w:t>人员工资、日常公用和</w:t>
      </w:r>
      <w:r>
        <w:rPr>
          <w:rFonts w:hint="eastAsia" w:ascii="仿宋_GB2312" w:hAnsi="Times New Roman" w:eastAsia="仿宋_GB2312" w:cs="DengXian-Regular"/>
          <w:sz w:val="32"/>
          <w:szCs w:val="32"/>
          <w:lang w:val="en-US" w:eastAsia="zh-CN"/>
        </w:rPr>
        <w:t>项目经费</w:t>
      </w:r>
      <w:r>
        <w:rPr>
          <w:rFonts w:hint="eastAsia" w:ascii="仿宋_GB2312" w:hAnsi="Times New Roman" w:eastAsia="仿宋_GB2312" w:cs="DengXian-Regular"/>
          <w:sz w:val="32"/>
          <w:szCs w:val="32"/>
        </w:rPr>
        <w:t>支出。</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lang w:eastAsia="zh-CN"/>
        </w:rPr>
        <w:t>如图所示：</w:t>
      </w:r>
    </w:p>
    <w:p>
      <w:pPr>
        <w:adjustRightInd w:val="0"/>
        <w:snapToGrid w:val="0"/>
        <w:spacing w:line="580" w:lineRule="exact"/>
        <w:ind w:firstLine="420" w:firstLineChars="200"/>
        <w:rPr>
          <w:rFonts w:hint="eastAsia" w:ascii="仿宋_GB2312" w:hAnsi="Times New Roman" w:eastAsia="仿宋_GB2312" w:cs="DengXian-Regular"/>
          <w:sz w:val="32"/>
          <w:szCs w:val="32"/>
          <w:lang w:eastAsia="zh-CN"/>
        </w:rPr>
      </w:pPr>
      <w:r>
        <w:drawing>
          <wp:anchor distT="0" distB="0" distL="114300" distR="114300" simplePos="0" relativeHeight="251676672" behindDoc="0" locked="0" layoutInCell="1" allowOverlap="1">
            <wp:simplePos x="0" y="0"/>
            <wp:positionH relativeFrom="column">
              <wp:posOffset>285115</wp:posOffset>
            </wp:positionH>
            <wp:positionV relativeFrom="paragraph">
              <wp:posOffset>189865</wp:posOffset>
            </wp:positionV>
            <wp:extent cx="4572000" cy="2743200"/>
            <wp:effectExtent l="4445" t="4445" r="14605" b="14605"/>
            <wp:wrapNone/>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pPr>
        <w:adjustRightInd w:val="0"/>
        <w:snapToGrid w:val="0"/>
        <w:spacing w:line="580" w:lineRule="exact"/>
        <w:rPr>
          <w:rFonts w:hint="eastAsia" w:ascii="仿宋_GB2312" w:hAnsi="Times New Roman" w:eastAsia="仿宋_GB2312" w:cs="DengXian-Regular"/>
          <w:sz w:val="32"/>
          <w:szCs w:val="32"/>
          <w:lang w:eastAsia="zh-CN"/>
        </w:rPr>
      </w:pPr>
    </w:p>
    <w:p>
      <w:pPr>
        <w:adjustRightInd w:val="0"/>
        <w:snapToGrid w:val="0"/>
        <w:spacing w:line="580" w:lineRule="exact"/>
        <w:rPr>
          <w:rFonts w:hint="eastAsia" w:ascii="仿宋_GB2312" w:hAnsi="Times New Roman" w:eastAsia="仿宋_GB2312" w:cs="DengXian-Regular"/>
          <w:sz w:val="32"/>
          <w:szCs w:val="32"/>
          <w:lang w:eastAsia="zh-CN"/>
        </w:rPr>
      </w:pPr>
    </w:p>
    <w:p>
      <w:pPr>
        <w:adjustRightInd w:val="0"/>
        <w:snapToGrid w:val="0"/>
        <w:spacing w:line="580" w:lineRule="exact"/>
        <w:rPr>
          <w:rFonts w:hint="eastAsia" w:ascii="仿宋_GB2312" w:hAnsi="Times New Roman" w:eastAsia="仿宋_GB2312" w:cs="DengXian-Regular"/>
          <w:sz w:val="32"/>
          <w:szCs w:val="32"/>
          <w:lang w:eastAsia="zh-CN"/>
        </w:rPr>
      </w:pPr>
    </w:p>
    <w:p>
      <w:pPr>
        <w:adjustRightInd w:val="0"/>
        <w:snapToGrid w:val="0"/>
        <w:spacing w:line="580" w:lineRule="exact"/>
        <w:rPr>
          <w:rFonts w:hint="eastAsia" w:ascii="仿宋_GB2312" w:hAnsi="Times New Roman" w:eastAsia="仿宋_GB2312" w:cs="DengXian-Regular"/>
          <w:sz w:val="32"/>
          <w:szCs w:val="32"/>
          <w:lang w:eastAsia="zh-CN"/>
        </w:rPr>
      </w:pPr>
    </w:p>
    <w:p>
      <w:pPr>
        <w:adjustRightInd w:val="0"/>
        <w:snapToGrid w:val="0"/>
        <w:spacing w:line="580" w:lineRule="exact"/>
        <w:rPr>
          <w:rFonts w:hint="eastAsia" w:ascii="仿宋_GB2312" w:hAnsi="Times New Roman" w:eastAsia="仿宋_GB2312" w:cs="DengXian-Regular"/>
          <w:sz w:val="32"/>
          <w:szCs w:val="32"/>
          <w:lang w:eastAsia="zh-CN"/>
        </w:rPr>
      </w:pPr>
    </w:p>
    <w:p>
      <w:pPr>
        <w:adjustRightInd w:val="0"/>
        <w:snapToGrid w:val="0"/>
        <w:spacing w:line="580" w:lineRule="exact"/>
        <w:ind w:left="420" w:left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2021年度财政拨款基本支出96.01万元，其中：</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人员经费 92.37万元，主要包括基本工资、津贴补贴、奖金、绩效工资、机关事业单位基本养老保险缴费、住房公积金、其他社会保障缴费、其他工资福利支出、退休费、生活补助</w:t>
      </w:r>
      <w:r>
        <w:rPr>
          <w:rFonts w:hint="eastAsia" w:ascii="仿宋_GB2312" w:hAnsi="Times New Roman" w:eastAsia="仿宋_GB2312" w:cs="DengXian-Regular"/>
          <w:sz w:val="32"/>
          <w:szCs w:val="32"/>
          <w:lang w:eastAsia="zh-CN"/>
        </w:rPr>
        <w:t>。</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公用经费3.64万元，主要包括办公费、咨询费、手续费、邮电费、工会经费、福利费、其他商品和服务支出</w:t>
      </w:r>
      <w:r>
        <w:rPr>
          <w:rFonts w:hint="eastAsia" w:ascii="仿宋_GB2312" w:hAnsi="Times New Roman" w:eastAsia="仿宋_GB2312" w:cs="DengXian-Regular"/>
          <w:sz w:val="32"/>
          <w:szCs w:val="32"/>
          <w:lang w:eastAsia="zh-CN"/>
        </w:rPr>
        <w:t>。</w:t>
      </w:r>
    </w:p>
    <w:p>
      <w:pPr>
        <w:keepNext/>
        <w:keepLines/>
        <w:snapToGrid w:val="0"/>
        <w:spacing w:line="580" w:lineRule="exact"/>
        <w:ind w:firstLine="640" w:firstLineChars="200"/>
        <w:outlineLvl w:val="1"/>
        <w:rPr>
          <w:rFonts w:ascii="仿宋_GB2312" w:hAnsi="Times New Roman" w:eastAsia="仿宋_GB2312" w:cs="DengXian-Regular"/>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（一）“三公”经费财政拨款支出决算总体情况说明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本部门2021年度“三公”经费财政拨款支出预算为0.03万元，支出决算为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 xml:space="preserve"> </w:t>
      </w:r>
      <w:r>
        <w:rPr>
          <w:rFonts w:hint="eastAsia" w:ascii="仿宋_GB2312" w:hAnsi="Times New Roman" w:eastAsia="仿宋_GB2312" w:cs="DengXian-Regular"/>
          <w:sz w:val="32"/>
          <w:szCs w:val="32"/>
        </w:rPr>
        <w:t>较预算减少0.03万元，降低</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本年度无招待任务</w:t>
      </w:r>
      <w:r>
        <w:rPr>
          <w:rFonts w:hint="eastAsia" w:ascii="仿宋_GB2312" w:hAnsi="Times New Roman" w:eastAsia="仿宋_GB2312" w:cs="DengXian-Regular"/>
          <w:sz w:val="32"/>
          <w:szCs w:val="32"/>
        </w:rPr>
        <w:t>；与2020年度决算支出持平。</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（二）“三公”经费财政拨款支出决算具体情况说明</w:t>
      </w:r>
    </w:p>
    <w:p>
      <w:pPr>
        <w:adjustRightInd w:val="0"/>
        <w:snapToGrid w:val="0"/>
        <w:spacing w:line="580" w:lineRule="exact"/>
        <w:ind w:firstLine="643" w:firstLineChars="200"/>
        <w:rPr>
          <w:rFonts w:hint="eastAsia" w:ascii="仿宋_GB2312" w:hAnsi="Times New Roman" w:eastAsia="仿宋_GB2312" w:cs="DengXian-Regular"/>
          <w:sz w:val="32"/>
          <w:szCs w:val="32"/>
        </w:rPr>
      </w:pPr>
      <w:r>
        <w:rPr>
          <w:rFonts w:hint="eastAsia" w:ascii="楷体_GB2312" w:hAnsi="Times New Roman" w:eastAsia="楷体_GB2312" w:cs="DengXian-Bold"/>
          <w:b/>
          <w:bCs/>
          <w:sz w:val="32"/>
          <w:szCs w:val="32"/>
        </w:rPr>
        <w:t>1.因公出国（境）费支出情况。</w:t>
      </w:r>
      <w:r>
        <w:rPr>
          <w:rFonts w:hint="eastAsia" w:ascii="仿宋_GB2312" w:hAnsi="Times New Roman" w:eastAsia="仿宋_GB2312" w:cs="DengXian-Regular"/>
          <w:sz w:val="32"/>
          <w:szCs w:val="32"/>
        </w:rPr>
        <w:t>本部门2021年未发生因公出国（境）费支出。其中因公出国（境）团组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人、参加其他单位组织的因公出国（境）团组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人。因公出国（境）费支出与年初预算持平，与2020年度决算支出持平。</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2.公务用车购置及运行维护费支出情况。</w:t>
      </w:r>
      <w:r>
        <w:rPr>
          <w:rFonts w:hint="eastAsia" w:ascii="仿宋_GB2312" w:hAnsi="Times New Roman" w:eastAsia="仿宋_GB2312" w:cs="DengXian-Regular"/>
          <w:sz w:val="32"/>
          <w:szCs w:val="32"/>
        </w:rPr>
        <w:t>本部门2021年度</w:t>
      </w:r>
      <w:r>
        <w:rPr>
          <w:rFonts w:hint="eastAsia" w:ascii="仿宋_GB2312" w:hAnsi="Times New Roman" w:eastAsia="仿宋_GB2312" w:cs="DengXian-Regular"/>
          <w:sz w:val="32"/>
          <w:szCs w:val="32"/>
          <w:lang w:eastAsia="zh-CN"/>
        </w:rPr>
        <w:t>未发生</w:t>
      </w:r>
      <w:r>
        <w:rPr>
          <w:rFonts w:hint="eastAsia" w:ascii="仿宋_GB2312" w:hAnsi="Times New Roman" w:eastAsia="仿宋_GB2312" w:cs="DengXian-Regular"/>
          <w:sz w:val="32"/>
          <w:szCs w:val="32"/>
        </w:rPr>
        <w:t>公务用车购置及运行维护费</w:t>
      </w:r>
      <w:r>
        <w:rPr>
          <w:rFonts w:hint="eastAsia" w:ascii="仿宋_GB2312" w:hAnsi="Times New Roman" w:eastAsia="仿宋_GB2312" w:cs="DengXian-Regular"/>
          <w:sz w:val="32"/>
          <w:szCs w:val="32"/>
          <w:lang w:eastAsia="zh-CN"/>
        </w:rPr>
        <w:t>支出。</w:t>
      </w:r>
      <w:r>
        <w:rPr>
          <w:rFonts w:hint="eastAsia" w:ascii="仿宋_GB2312" w:hAnsi="Times New Roman" w:eastAsia="仿宋_GB2312" w:cs="DengXian-Regular"/>
          <w:sz w:val="32"/>
          <w:szCs w:val="32"/>
        </w:rPr>
        <w:t>公务用车购置及运行维护费</w:t>
      </w:r>
      <w:r>
        <w:rPr>
          <w:rFonts w:hint="eastAsia" w:ascii="仿宋_GB2312" w:hAnsi="Times New Roman" w:eastAsia="仿宋_GB2312" w:cs="DengXian-Regular"/>
          <w:sz w:val="32"/>
          <w:szCs w:val="32"/>
          <w:lang w:eastAsia="zh-CN"/>
        </w:rPr>
        <w:t>支出</w:t>
      </w:r>
      <w:r>
        <w:rPr>
          <w:rFonts w:hint="eastAsia" w:ascii="仿宋_GB2312" w:hAnsi="Times New Roman" w:eastAsia="仿宋_GB2312" w:cs="DengXian-Regular"/>
          <w:sz w:val="32"/>
          <w:szCs w:val="32"/>
        </w:rPr>
        <w:t>与年初预算持平；与2020年度决算支出持平。</w:t>
      </w:r>
      <w:r>
        <w:rPr>
          <w:rFonts w:hint="eastAsia" w:ascii="仿宋_GB2312" w:hAnsi="Times New Roman" w:eastAsia="仿宋_GB2312" w:cs="DengXian-Bold"/>
          <w:sz w:val="32"/>
          <w:szCs w:val="32"/>
        </w:rPr>
        <w:t>其中：</w:t>
      </w:r>
    </w:p>
    <w:p>
      <w:pPr>
        <w:adjustRightInd w:val="0"/>
        <w:snapToGrid w:val="0"/>
        <w:spacing w:line="580" w:lineRule="exact"/>
        <w:ind w:firstLine="643" w:firstLineChars="200"/>
        <w:rPr>
          <w:rFonts w:ascii="仿宋_GB2312" w:hAnsi="Times New Roman" w:eastAsia="仿宋_GB2312" w:cs="DengXian-Regular"/>
          <w:color w:val="000000"/>
          <w:sz w:val="32"/>
          <w:szCs w:val="32"/>
          <w:highlight w:val="yellow"/>
        </w:rPr>
      </w:pPr>
      <w:r>
        <w:rPr>
          <w:rFonts w:hint="eastAsia" w:ascii="仿宋_GB2312" w:hAnsi="Times New Roman" w:eastAsia="仿宋_GB2312" w:cs="DengXian-Regular"/>
          <w:b/>
          <w:sz w:val="32"/>
          <w:szCs w:val="32"/>
        </w:rPr>
        <w:t>公务用车购置费支出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本部门2021年度公务用车购置量0辆，未发生“公务用车购置”经费支出。公务用车购置费支出与年初预算持平；与2020年度决算支出持平。</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公务用车运行维护费支出</w:t>
      </w:r>
      <w:r>
        <w:rPr>
          <w:rFonts w:hint="eastAsia" w:ascii="仿宋_GB2312" w:hAnsi="Times New Roman" w:eastAsia="仿宋_GB2312" w:cs="DengXian-Regular"/>
          <w:b/>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本部门2021年度单位公务用车保有量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eastAsia="zh-CN"/>
        </w:rPr>
        <w:t>未发生</w:t>
      </w:r>
      <w:r>
        <w:rPr>
          <w:rFonts w:hint="eastAsia" w:ascii="仿宋_GB2312" w:hAnsi="Times New Roman" w:eastAsia="仿宋_GB2312" w:cs="DengXian-Regular"/>
          <w:sz w:val="32"/>
          <w:szCs w:val="32"/>
        </w:rPr>
        <w:t>公车运行维护费支出</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公车运行维护费支出与年初预算持平；与2020年度决算支出持平。</w:t>
      </w:r>
    </w:p>
    <w:p>
      <w:pPr>
        <w:adjustRightInd w:val="0"/>
        <w:snapToGrid w:val="0"/>
        <w:spacing w:line="580" w:lineRule="exact"/>
        <w:ind w:firstLine="643" w:firstLineChars="200"/>
        <w:rPr>
          <w:rFonts w:ascii="仿宋_GB2312" w:hAnsi="Times New Roman" w:eastAsia="仿宋_GB2312" w:cs="DengXian-Regular"/>
          <w:sz w:val="32"/>
          <w:szCs w:val="32"/>
          <w:highlight w:val="yellow"/>
        </w:rPr>
      </w:pPr>
      <w:r>
        <w:rPr>
          <w:rFonts w:hint="eastAsia" w:ascii="楷体_GB2312" w:hAnsi="Times New Roman" w:eastAsia="楷体_GB2312" w:cs="DengXian-Bold"/>
          <w:b/>
          <w:bCs/>
          <w:sz w:val="32"/>
          <w:szCs w:val="32"/>
        </w:rPr>
        <w:t>3.公务接待费支出情况。</w:t>
      </w:r>
      <w:r>
        <w:rPr>
          <w:rFonts w:hint="eastAsia" w:ascii="仿宋_GB2312" w:hAnsi="Times New Roman" w:eastAsia="仿宋_GB2312" w:cs="DengXian-Regular"/>
          <w:sz w:val="32"/>
          <w:szCs w:val="32"/>
        </w:rPr>
        <w:t>本部门2021年度公务接待费支出预算为0.03</w:t>
      </w:r>
      <w:r>
        <w:rPr>
          <w:rFonts w:hint="eastAsia" w:ascii="仿宋_GB2312" w:hAnsi="Times New Roman" w:eastAsia="仿宋_GB2312" w:cs="DengXian-Regular"/>
          <w:sz w:val="32"/>
          <w:szCs w:val="32"/>
          <w:lang w:eastAsia="zh-CN"/>
        </w:rPr>
        <w:t>万元</w:t>
      </w:r>
      <w:r>
        <w:rPr>
          <w:rFonts w:hint="eastAsia" w:ascii="仿宋_GB2312" w:hAnsi="Times New Roman" w:eastAsia="仿宋_GB2312" w:cs="DengXian-Regular"/>
          <w:sz w:val="32"/>
          <w:szCs w:val="32"/>
        </w:rPr>
        <w:t>，支出决算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%。本年度共发生公务接待</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w:t>
      </w:r>
      <w:r>
        <w:rPr>
          <w:rFonts w:hint="eastAsia" w:ascii="仿宋_GB2312" w:hAnsi="Times New Roman" w:eastAsia="仿宋_GB2312" w:cs="DengXian-Regular"/>
          <w:sz w:val="32"/>
          <w:szCs w:val="32"/>
          <w:highlight w:val="none"/>
        </w:rPr>
        <w:t>公务接待费支出</w:t>
      </w:r>
      <w:r>
        <w:rPr>
          <w:rFonts w:hint="eastAsia" w:ascii="仿宋_GB2312" w:hAnsi="Times New Roman" w:eastAsia="仿宋_GB2312" w:cs="DengXian-Regular"/>
          <w:sz w:val="32"/>
          <w:szCs w:val="32"/>
          <w:highlight w:val="none"/>
          <w:lang w:eastAsia="zh-CN"/>
        </w:rPr>
        <w:t>比</w:t>
      </w:r>
      <w:r>
        <w:rPr>
          <w:rFonts w:hint="eastAsia" w:ascii="仿宋_GB2312" w:hAnsi="Times New Roman" w:eastAsia="仿宋_GB2312" w:cs="DengXian-Regular"/>
          <w:sz w:val="32"/>
          <w:szCs w:val="32"/>
          <w:highlight w:val="none"/>
        </w:rPr>
        <w:t>年初预算</w:t>
      </w:r>
      <w:r>
        <w:rPr>
          <w:rFonts w:hint="eastAsia" w:ascii="仿宋_GB2312" w:hAnsi="Times New Roman" w:eastAsia="仿宋_GB2312" w:cs="DengXian-Regular"/>
          <w:sz w:val="32"/>
          <w:szCs w:val="32"/>
          <w:highlight w:val="none"/>
          <w:lang w:eastAsia="zh-CN"/>
        </w:rPr>
        <w:t>减少</w:t>
      </w:r>
      <w:r>
        <w:rPr>
          <w:rFonts w:hint="eastAsia" w:ascii="仿宋_GB2312" w:hAnsi="Times New Roman" w:eastAsia="仿宋_GB2312" w:cs="DengXian-Regular"/>
          <w:sz w:val="32"/>
          <w:szCs w:val="32"/>
          <w:highlight w:val="none"/>
          <w:lang w:val="en-US" w:eastAsia="zh-CN"/>
        </w:rPr>
        <w:t>100％</w:t>
      </w:r>
      <w:r>
        <w:rPr>
          <w:rFonts w:hint="eastAsia" w:ascii="仿宋_GB2312" w:hAnsi="Times New Roman" w:eastAsia="仿宋_GB2312" w:cs="DengXian-Regular"/>
          <w:sz w:val="32"/>
          <w:szCs w:val="32"/>
        </w:rPr>
        <w:t>；与2020年度决算支出持平。</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组织对2021年度一般公共预算项目支出全面开展绩效自评，其中，一级项目</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highlight w:val="none"/>
          <w:lang w:val="en-US" w:eastAsia="zh-CN"/>
        </w:rPr>
        <w:t>25</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rPr>
        <w:t>。组织对2021年度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个政府性基金预算项目支出开展绩效自评，共涉及资金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万元，占政府性基金预算项目支出总额的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adjustRightInd w:val="0"/>
        <w:snapToGrid w:val="0"/>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组织对一级项目开展了重点评价</w:t>
      </w:r>
      <w:r>
        <w:rPr>
          <w:rFonts w:hint="eastAsia" w:ascii="仿宋_GB2312" w:hAnsi="仿宋_GB2312" w:eastAsia="仿宋_GB2312" w:cs="仿宋_GB2312"/>
          <w:sz w:val="32"/>
          <w:szCs w:val="32"/>
          <w:lang w:eastAsia="zh-CN"/>
        </w:rPr>
        <w:t>：无</w:t>
      </w:r>
    </w:p>
    <w:p>
      <w:pPr>
        <w:adjustRightInd w:val="0"/>
        <w:snapToGrid w:val="0"/>
        <w:spacing w:line="580" w:lineRule="exact"/>
        <w:ind w:firstLine="640" w:firstLineChars="200"/>
        <w:rPr>
          <w:rFonts w:ascii="仿宋_GB2312" w:hAnsi="仿宋_GB2312" w:eastAsia="仿宋_GB2312" w:cs="仿宋_GB2312"/>
          <w:sz w:val="32"/>
          <w:szCs w:val="32"/>
          <w:highlight w:val="green"/>
        </w:rPr>
      </w:pPr>
      <w:r>
        <w:rPr>
          <w:rFonts w:hint="eastAsia" w:ascii="仿宋_GB2312" w:hAnsi="仿宋_GB2312" w:eastAsia="仿宋_GB2312" w:cs="仿宋_GB2312"/>
          <w:sz w:val="32"/>
          <w:szCs w:val="32"/>
        </w:rPr>
        <w:t>涉及一般公共预算支出</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万元，政府性基金预算支出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委托第三方机构(或部内评审机构)开展绩效评价。</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在今年部门决算公开中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反映</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lang w:eastAsia="zh-CN"/>
        </w:rPr>
        <w:t>粮油质量检验检测经费</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个项目绩效自评结果。</w:t>
      </w:r>
      <w:r>
        <w:rPr>
          <w:rFonts w:hint="eastAsia" w:ascii="仿宋_GB2312" w:hAnsi="仿宋_GB2312" w:eastAsia="仿宋_GB2312" w:cs="仿宋_GB2312"/>
          <w:sz w:val="32"/>
          <w:szCs w:val="32"/>
          <w:lang w:val="en-US" w:eastAsia="zh-CN"/>
        </w:rPr>
        <w:t xml:space="preserve"> </w:t>
      </w:r>
    </w:p>
    <w:p>
      <w:pPr>
        <w:pBdr>
          <w:bottom w:val="single" w:color="FFFFFF" w:sz="4" w:space="31"/>
        </w:pBd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lang w:eastAsia="zh-CN"/>
        </w:rPr>
        <w:t>粮油质量检验检测经费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lang w:eastAsia="zh-CN"/>
        </w:rPr>
        <w:t>粮油质量检验检测经费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（包括调剂补充经费</w:t>
      </w:r>
      <w:r>
        <w:rPr>
          <w:rFonts w:hint="eastAsia" w:ascii="仿宋_GB2312" w:hAnsi="仿宋_GB2312" w:eastAsia="仿宋_GB2312" w:cs="仿宋_GB2312"/>
          <w:sz w:val="32"/>
          <w:szCs w:val="32"/>
          <w:lang w:val="en-US" w:eastAsia="zh-CN"/>
        </w:rPr>
        <w:t>5万元）</w:t>
      </w:r>
      <w:r>
        <w:rPr>
          <w:rFonts w:hint="eastAsia" w:ascii="仿宋_GB2312" w:hAnsi="仿宋_GB2312" w:eastAsia="仿宋_GB2312" w:cs="仿宋_GB2312"/>
          <w:sz w:val="32"/>
          <w:szCs w:val="32"/>
        </w:rPr>
        <w:t>，执行数为</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pBdr>
          <w:bottom w:val="single" w:color="FFFFFF" w:sz="4" w:space="31"/>
        </w:pBdr>
        <w:adjustRightInd w:val="0"/>
        <w:snapToGrid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项目绩效目标完成情况：</w:t>
      </w:r>
      <w:r>
        <w:rPr>
          <w:rFonts w:hint="eastAsia" w:ascii="仿宋_GB2312" w:hAnsi="仿宋" w:eastAsia="仿宋_GB2312"/>
          <w:color w:val="000000"/>
          <w:sz w:val="32"/>
          <w:szCs w:val="32"/>
          <w:lang w:eastAsia="zh-CN"/>
        </w:rPr>
        <w:t>我单位</w:t>
      </w:r>
      <w:r>
        <w:rPr>
          <w:rFonts w:hint="eastAsia" w:ascii="仿宋_GB2312" w:hAnsi="仿宋" w:eastAsia="仿宋_GB2312"/>
          <w:color w:val="000000"/>
          <w:sz w:val="32"/>
          <w:szCs w:val="32"/>
        </w:rPr>
        <w:t>紧紧围绕</w:t>
      </w:r>
      <w:r>
        <w:rPr>
          <w:rFonts w:hint="eastAsia" w:ascii="仿宋_GB2312" w:hAnsi="仿宋" w:eastAsia="仿宋_GB2312"/>
          <w:color w:val="000000"/>
          <w:sz w:val="32"/>
          <w:szCs w:val="32"/>
          <w:lang w:eastAsia="zh-CN"/>
        </w:rPr>
        <w:t>保证粮食质量安全</w:t>
      </w:r>
      <w:r>
        <w:rPr>
          <w:rFonts w:hint="eastAsia" w:ascii="仿宋_GB2312" w:hAnsi="仿宋" w:eastAsia="仿宋_GB2312"/>
          <w:color w:val="000000"/>
          <w:sz w:val="32"/>
          <w:szCs w:val="32"/>
        </w:rPr>
        <w:t>基本要求，对</w:t>
      </w:r>
      <w:r>
        <w:rPr>
          <w:rFonts w:hint="eastAsia" w:ascii="仿宋_GB2312" w:hAnsi="仿宋" w:eastAsia="仿宋_GB2312"/>
          <w:color w:val="000000"/>
          <w:sz w:val="32"/>
          <w:szCs w:val="32"/>
          <w:lang w:eastAsia="zh-CN"/>
        </w:rPr>
        <w:t>上级下达粮食检验任务</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eastAsia="zh-CN"/>
        </w:rPr>
        <w:t>按照粮食检验工作程序和国家标准，及时进行扦样、检验和出具检验报告和检验数据，为主管部门加强粮食质量管理提供数据支持，同时</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eastAsia="zh-CN"/>
        </w:rPr>
        <w:t>也督促被检企业在粮食收购、储备等环节加强管理，保证粮食质量安全</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eastAsia="zh-CN"/>
        </w:rPr>
        <w:t>通过项目实施，完成了本年度上级下达的粮油安全质量检测任务，同时也</w:t>
      </w:r>
      <w:r>
        <w:rPr>
          <w:rFonts w:hint="eastAsia" w:ascii="仿宋_GB2312" w:hAnsi="仿宋_GB2312" w:eastAsia="仿宋_GB2312" w:cs="仿宋_GB2312"/>
          <w:sz w:val="32"/>
          <w:szCs w:val="32"/>
          <w:highlight w:val="none"/>
        </w:rPr>
        <w:t>完成了年初设定的各项绩效目标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lang w:eastAsia="zh-CN"/>
        </w:rPr>
        <w:t>综合评定等级：优。</w:t>
      </w:r>
    </w:p>
    <w:p>
      <w:pPr>
        <w:pStyle w:val="2"/>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绩效自评表</w:t>
      </w:r>
      <w:r>
        <w:rPr>
          <w:rFonts w:hint="eastAsia" w:ascii="仿宋_GB2312" w:hAnsi="仿宋_GB2312" w:eastAsia="仿宋_GB2312" w:cs="仿宋_GB2312"/>
          <w:sz w:val="32"/>
          <w:szCs w:val="32"/>
          <w:lang w:val="en-US" w:eastAsia="zh-CN"/>
        </w:rPr>
        <w:t>:</w:t>
      </w:r>
    </w:p>
    <w:p>
      <w:pPr>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highlight w:val="none"/>
          <w:lang w:val="en-US" w:eastAsia="zh-CN"/>
        </w:rPr>
        <w:t>粮油质量监测经费：</w:t>
      </w:r>
    </w:p>
    <w:tbl>
      <w:tblPr>
        <w:tblStyle w:val="6"/>
        <w:tblpPr w:leftFromText="180" w:rightFromText="180" w:vertAnchor="text" w:horzAnchor="page" w:tblpX="1498" w:tblpY="762"/>
        <w:tblOverlap w:val="never"/>
        <w:tblW w:w="92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9"/>
        <w:gridCol w:w="982"/>
        <w:gridCol w:w="1215"/>
        <w:gridCol w:w="631"/>
        <w:gridCol w:w="691"/>
        <w:gridCol w:w="445"/>
        <w:gridCol w:w="1287"/>
        <w:gridCol w:w="764"/>
        <w:gridCol w:w="222"/>
        <w:gridCol w:w="459"/>
        <w:gridCol w:w="251"/>
        <w:gridCol w:w="636"/>
        <w:gridCol w:w="216"/>
        <w:gridCol w:w="8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571" w:type="dxa"/>
            <w:gridSpan w:val="2"/>
          </w:tcPr>
          <w:p>
            <w:pPr>
              <w:pStyle w:val="9"/>
              <w:spacing w:before="68"/>
              <w:ind w:left="428"/>
              <w:rPr>
                <w:sz w:val="18"/>
              </w:rPr>
            </w:pPr>
            <w:r>
              <w:rPr>
                <w:sz w:val="18"/>
              </w:rPr>
              <w:t>项目名称</w:t>
            </w:r>
          </w:p>
        </w:tc>
        <w:tc>
          <w:tcPr>
            <w:tcW w:w="7664" w:type="dxa"/>
            <w:gridSpan w:val="12"/>
          </w:tcPr>
          <w:p>
            <w:pPr>
              <w:pStyle w:val="9"/>
              <w:spacing w:before="35"/>
              <w:ind w:left="2904" w:right="1639" w:rightChars="0"/>
              <w:jc w:val="left"/>
              <w:rPr>
                <w:rFonts w:hint="default" w:ascii="仿宋" w:eastAsia="仿宋"/>
                <w:sz w:val="21"/>
                <w:lang w:val="en-US" w:eastAsia="zh-CN"/>
              </w:rPr>
            </w:pPr>
            <w:r>
              <w:rPr>
                <w:rFonts w:hint="eastAsia" w:ascii="仿宋" w:eastAsia="仿宋"/>
                <w:sz w:val="21"/>
                <w:lang w:val="en-US" w:eastAsia="zh-CN"/>
              </w:rPr>
              <w:t>粮油质量监测经费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571" w:type="dxa"/>
            <w:gridSpan w:val="2"/>
          </w:tcPr>
          <w:p>
            <w:pPr>
              <w:pStyle w:val="9"/>
              <w:spacing w:before="68"/>
              <w:ind w:left="428"/>
              <w:rPr>
                <w:sz w:val="18"/>
              </w:rPr>
            </w:pPr>
            <w:r>
              <w:rPr>
                <w:sz w:val="18"/>
              </w:rPr>
              <w:t>主管部门</w:t>
            </w:r>
          </w:p>
        </w:tc>
        <w:tc>
          <w:tcPr>
            <w:tcW w:w="4269" w:type="dxa"/>
            <w:gridSpan w:val="5"/>
          </w:tcPr>
          <w:p>
            <w:pPr>
              <w:pStyle w:val="9"/>
              <w:rPr>
                <w:rFonts w:hint="eastAsia" w:ascii="Times New Roman" w:eastAsia="宋体"/>
                <w:sz w:val="18"/>
                <w:lang w:eastAsia="zh-CN"/>
              </w:rPr>
            </w:pPr>
            <w:r>
              <w:rPr>
                <w:rFonts w:hint="eastAsia" w:ascii="Times New Roman"/>
                <w:sz w:val="18"/>
                <w:lang w:eastAsia="zh-CN"/>
              </w:rPr>
              <w:t>承德市发展和改革委员会</w:t>
            </w:r>
          </w:p>
        </w:tc>
        <w:tc>
          <w:tcPr>
            <w:tcW w:w="986" w:type="dxa"/>
            <w:gridSpan w:val="2"/>
          </w:tcPr>
          <w:p>
            <w:pPr>
              <w:pStyle w:val="9"/>
              <w:spacing w:before="68"/>
              <w:ind w:left="213"/>
              <w:rPr>
                <w:sz w:val="18"/>
              </w:rPr>
            </w:pPr>
            <w:r>
              <w:rPr>
                <w:sz w:val="18"/>
              </w:rPr>
              <w:t>实施单位</w:t>
            </w:r>
          </w:p>
        </w:tc>
        <w:tc>
          <w:tcPr>
            <w:tcW w:w="2409" w:type="dxa"/>
            <w:gridSpan w:val="5"/>
          </w:tcPr>
          <w:p>
            <w:pPr>
              <w:pStyle w:val="9"/>
              <w:spacing w:before="68"/>
              <w:ind w:left="210" w:leftChars="0" w:right="164" w:rightChars="0" w:hanging="210" w:hangingChars="117"/>
              <w:jc w:val="center"/>
              <w:rPr>
                <w:rFonts w:hint="eastAsia" w:eastAsia="宋体"/>
                <w:sz w:val="18"/>
                <w:lang w:eastAsia="zh-CN"/>
              </w:rPr>
            </w:pPr>
            <w:r>
              <w:rPr>
                <w:rFonts w:hint="eastAsia"/>
                <w:sz w:val="18"/>
                <w:lang w:eastAsia="zh-CN"/>
              </w:rPr>
              <w:t>承德市粮油质量检测中心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1571" w:type="dxa"/>
            <w:gridSpan w:val="2"/>
            <w:vMerge w:val="restart"/>
          </w:tcPr>
          <w:p>
            <w:pPr>
              <w:pStyle w:val="9"/>
              <w:rPr>
                <w:sz w:val="18"/>
              </w:rPr>
            </w:pPr>
          </w:p>
          <w:p>
            <w:pPr>
              <w:pStyle w:val="9"/>
              <w:rPr>
                <w:sz w:val="18"/>
              </w:rPr>
            </w:pPr>
          </w:p>
          <w:p>
            <w:pPr>
              <w:pStyle w:val="9"/>
              <w:spacing w:before="12"/>
              <w:rPr>
                <w:sz w:val="15"/>
              </w:rPr>
            </w:pPr>
          </w:p>
          <w:p>
            <w:pPr>
              <w:pStyle w:val="9"/>
              <w:ind w:left="428"/>
              <w:rPr>
                <w:sz w:val="18"/>
              </w:rPr>
            </w:pPr>
            <w:r>
              <w:rPr>
                <w:sz w:val="18"/>
              </w:rPr>
              <w:t>项目资金</w:t>
            </w:r>
          </w:p>
          <w:p>
            <w:pPr>
              <w:pStyle w:val="9"/>
              <w:spacing w:before="12"/>
              <w:ind w:left="428"/>
              <w:rPr>
                <w:sz w:val="18"/>
              </w:rPr>
            </w:pPr>
            <w:r>
              <w:rPr>
                <w:sz w:val="18"/>
              </w:rPr>
              <w:t>（万元）</w:t>
            </w:r>
          </w:p>
        </w:tc>
        <w:tc>
          <w:tcPr>
            <w:tcW w:w="1846" w:type="dxa"/>
            <w:gridSpan w:val="2"/>
          </w:tcPr>
          <w:p>
            <w:pPr>
              <w:pStyle w:val="9"/>
              <w:rPr>
                <w:rFonts w:ascii="Times New Roman"/>
                <w:sz w:val="18"/>
              </w:rPr>
            </w:pPr>
          </w:p>
        </w:tc>
        <w:tc>
          <w:tcPr>
            <w:tcW w:w="1136" w:type="dxa"/>
            <w:gridSpan w:val="2"/>
          </w:tcPr>
          <w:p>
            <w:pPr>
              <w:pStyle w:val="9"/>
              <w:spacing w:before="66"/>
              <w:ind w:left="102" w:right="84"/>
              <w:jc w:val="center"/>
              <w:rPr>
                <w:sz w:val="18"/>
              </w:rPr>
            </w:pPr>
            <w:r>
              <w:rPr>
                <w:sz w:val="18"/>
              </w:rPr>
              <w:t>年初预算数</w:t>
            </w:r>
          </w:p>
        </w:tc>
        <w:tc>
          <w:tcPr>
            <w:tcW w:w="1287" w:type="dxa"/>
          </w:tcPr>
          <w:p>
            <w:pPr>
              <w:pStyle w:val="9"/>
              <w:spacing w:before="66"/>
              <w:ind w:left="121"/>
              <w:rPr>
                <w:sz w:val="18"/>
              </w:rPr>
            </w:pPr>
            <w:r>
              <w:rPr>
                <w:sz w:val="18"/>
              </w:rPr>
              <w:t>全年预算数</w:t>
            </w:r>
          </w:p>
        </w:tc>
        <w:tc>
          <w:tcPr>
            <w:tcW w:w="986" w:type="dxa"/>
            <w:gridSpan w:val="2"/>
          </w:tcPr>
          <w:p>
            <w:pPr>
              <w:pStyle w:val="9"/>
              <w:spacing w:before="66"/>
              <w:ind w:left="121"/>
              <w:rPr>
                <w:sz w:val="18"/>
              </w:rPr>
            </w:pPr>
            <w:r>
              <w:rPr>
                <w:sz w:val="18"/>
              </w:rPr>
              <w:t>全年执行数</w:t>
            </w:r>
          </w:p>
        </w:tc>
        <w:tc>
          <w:tcPr>
            <w:tcW w:w="710" w:type="dxa"/>
            <w:gridSpan w:val="2"/>
          </w:tcPr>
          <w:p>
            <w:pPr>
              <w:pStyle w:val="9"/>
              <w:spacing w:before="66"/>
              <w:ind w:left="178"/>
              <w:rPr>
                <w:sz w:val="18"/>
              </w:rPr>
            </w:pPr>
            <w:r>
              <w:rPr>
                <w:sz w:val="18"/>
              </w:rPr>
              <w:t>分值</w:t>
            </w:r>
          </w:p>
        </w:tc>
        <w:tc>
          <w:tcPr>
            <w:tcW w:w="852" w:type="dxa"/>
            <w:gridSpan w:val="2"/>
          </w:tcPr>
          <w:p>
            <w:pPr>
              <w:pStyle w:val="9"/>
              <w:spacing w:before="66"/>
              <w:ind w:left="159"/>
              <w:rPr>
                <w:sz w:val="18"/>
              </w:rPr>
            </w:pPr>
            <w:r>
              <w:rPr>
                <w:sz w:val="18"/>
              </w:rPr>
              <w:t>执行率</w:t>
            </w:r>
          </w:p>
        </w:tc>
        <w:tc>
          <w:tcPr>
            <w:tcW w:w="847" w:type="dxa"/>
          </w:tcPr>
          <w:p>
            <w:pPr>
              <w:pStyle w:val="9"/>
              <w:spacing w:before="66"/>
              <w:ind w:left="159" w:right="143"/>
              <w:jc w:val="center"/>
              <w:rPr>
                <w:sz w:val="18"/>
              </w:rPr>
            </w:pPr>
            <w:r>
              <w:rPr>
                <w:sz w:val="18"/>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571" w:type="dxa"/>
            <w:gridSpan w:val="2"/>
            <w:vMerge w:val="continue"/>
            <w:tcBorders>
              <w:top w:val="nil"/>
            </w:tcBorders>
          </w:tcPr>
          <w:p>
            <w:pPr>
              <w:rPr>
                <w:sz w:val="2"/>
                <w:szCs w:val="2"/>
              </w:rPr>
            </w:pPr>
          </w:p>
        </w:tc>
        <w:tc>
          <w:tcPr>
            <w:tcW w:w="1846" w:type="dxa"/>
            <w:gridSpan w:val="2"/>
          </w:tcPr>
          <w:p>
            <w:pPr>
              <w:pStyle w:val="9"/>
              <w:spacing w:before="68"/>
              <w:ind w:left="112"/>
              <w:rPr>
                <w:sz w:val="18"/>
              </w:rPr>
            </w:pPr>
            <w:r>
              <w:rPr>
                <w:sz w:val="18"/>
              </w:rPr>
              <w:t>年度资金总额</w:t>
            </w:r>
          </w:p>
        </w:tc>
        <w:tc>
          <w:tcPr>
            <w:tcW w:w="1136" w:type="dxa"/>
            <w:gridSpan w:val="2"/>
          </w:tcPr>
          <w:p>
            <w:pPr>
              <w:pStyle w:val="9"/>
              <w:spacing w:before="68"/>
              <w:ind w:left="19"/>
              <w:jc w:val="center"/>
              <w:rPr>
                <w:rFonts w:hint="default" w:eastAsia="宋体"/>
                <w:sz w:val="18"/>
                <w:lang w:val="en-US" w:eastAsia="zh-CN"/>
              </w:rPr>
            </w:pPr>
            <w:r>
              <w:rPr>
                <w:rFonts w:hint="eastAsia"/>
                <w:sz w:val="18"/>
                <w:lang w:val="en-US" w:eastAsia="zh-CN"/>
              </w:rPr>
              <w:t>20</w:t>
            </w:r>
          </w:p>
        </w:tc>
        <w:tc>
          <w:tcPr>
            <w:tcW w:w="1287" w:type="dxa"/>
          </w:tcPr>
          <w:p>
            <w:pPr>
              <w:pStyle w:val="9"/>
              <w:spacing w:before="68"/>
              <w:ind w:left="16"/>
              <w:jc w:val="center"/>
              <w:rPr>
                <w:rFonts w:hint="default" w:eastAsia="宋体"/>
                <w:sz w:val="18"/>
                <w:lang w:val="en-US" w:eastAsia="zh-CN"/>
              </w:rPr>
            </w:pPr>
            <w:r>
              <w:rPr>
                <w:rFonts w:hint="eastAsia"/>
                <w:sz w:val="18"/>
                <w:lang w:val="en-US" w:eastAsia="zh-CN"/>
              </w:rPr>
              <w:t>20</w:t>
            </w:r>
          </w:p>
        </w:tc>
        <w:tc>
          <w:tcPr>
            <w:tcW w:w="986" w:type="dxa"/>
            <w:gridSpan w:val="2"/>
          </w:tcPr>
          <w:p>
            <w:pPr>
              <w:pStyle w:val="9"/>
              <w:spacing w:before="68"/>
              <w:ind w:left="19"/>
              <w:jc w:val="center"/>
              <w:rPr>
                <w:rFonts w:hint="default" w:eastAsia="宋体"/>
                <w:sz w:val="18"/>
                <w:lang w:val="en-US" w:eastAsia="zh-CN"/>
              </w:rPr>
            </w:pPr>
            <w:r>
              <w:rPr>
                <w:rFonts w:hint="eastAsia"/>
                <w:sz w:val="18"/>
                <w:lang w:val="en-US" w:eastAsia="zh-CN"/>
              </w:rPr>
              <w:t>20</w:t>
            </w:r>
          </w:p>
        </w:tc>
        <w:tc>
          <w:tcPr>
            <w:tcW w:w="710" w:type="dxa"/>
            <w:gridSpan w:val="2"/>
          </w:tcPr>
          <w:p>
            <w:pPr>
              <w:pStyle w:val="9"/>
              <w:spacing w:before="68"/>
              <w:ind w:left="157"/>
              <w:rPr>
                <w:sz w:val="18"/>
              </w:rPr>
            </w:pPr>
            <w:r>
              <w:rPr>
                <w:sz w:val="18"/>
              </w:rPr>
              <w:t>10 分</w:t>
            </w:r>
          </w:p>
        </w:tc>
        <w:tc>
          <w:tcPr>
            <w:tcW w:w="852" w:type="dxa"/>
            <w:gridSpan w:val="2"/>
          </w:tcPr>
          <w:p>
            <w:pPr>
              <w:pStyle w:val="9"/>
              <w:spacing w:before="68"/>
              <w:ind w:left="294"/>
              <w:rPr>
                <w:sz w:val="18"/>
              </w:rPr>
            </w:pPr>
            <w:r>
              <w:rPr>
                <w:sz w:val="18"/>
              </w:rPr>
              <w:t>100</w:t>
            </w:r>
          </w:p>
        </w:tc>
        <w:tc>
          <w:tcPr>
            <w:tcW w:w="847" w:type="dxa"/>
          </w:tcPr>
          <w:p>
            <w:pPr>
              <w:pStyle w:val="9"/>
              <w:spacing w:before="68"/>
              <w:ind w:left="133"/>
              <w:rPr>
                <w:sz w:val="18"/>
              </w:rPr>
            </w:pPr>
            <w:r>
              <w:rPr>
                <w:sz w:val="18"/>
              </w:rPr>
              <w:t>10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571" w:type="dxa"/>
            <w:gridSpan w:val="2"/>
            <w:vMerge w:val="continue"/>
            <w:tcBorders>
              <w:top w:val="nil"/>
            </w:tcBorders>
          </w:tcPr>
          <w:p>
            <w:pPr>
              <w:rPr>
                <w:sz w:val="2"/>
                <w:szCs w:val="2"/>
              </w:rPr>
            </w:pPr>
          </w:p>
        </w:tc>
        <w:tc>
          <w:tcPr>
            <w:tcW w:w="1846" w:type="dxa"/>
            <w:gridSpan w:val="2"/>
          </w:tcPr>
          <w:p>
            <w:pPr>
              <w:pStyle w:val="9"/>
              <w:spacing w:before="68"/>
              <w:ind w:left="117"/>
              <w:rPr>
                <w:sz w:val="18"/>
              </w:rPr>
            </w:pPr>
            <w:r>
              <w:rPr>
                <w:sz w:val="18"/>
              </w:rPr>
              <w:t>其中：当年财政拨款</w:t>
            </w:r>
          </w:p>
        </w:tc>
        <w:tc>
          <w:tcPr>
            <w:tcW w:w="1136" w:type="dxa"/>
            <w:gridSpan w:val="2"/>
          </w:tcPr>
          <w:p>
            <w:pPr>
              <w:pStyle w:val="9"/>
              <w:spacing w:before="68"/>
              <w:ind w:left="19"/>
              <w:jc w:val="center"/>
              <w:rPr>
                <w:rFonts w:hint="default" w:eastAsia="宋体"/>
                <w:sz w:val="18"/>
                <w:lang w:val="en-US" w:eastAsia="zh-CN"/>
              </w:rPr>
            </w:pPr>
            <w:r>
              <w:rPr>
                <w:rFonts w:hint="eastAsia"/>
                <w:sz w:val="18"/>
                <w:lang w:val="en-US" w:eastAsia="zh-CN"/>
              </w:rPr>
              <w:t>20</w:t>
            </w:r>
          </w:p>
        </w:tc>
        <w:tc>
          <w:tcPr>
            <w:tcW w:w="1287" w:type="dxa"/>
          </w:tcPr>
          <w:p>
            <w:pPr>
              <w:pStyle w:val="9"/>
              <w:spacing w:before="68"/>
              <w:ind w:left="16"/>
              <w:jc w:val="center"/>
              <w:rPr>
                <w:rFonts w:hint="default" w:eastAsia="宋体"/>
                <w:sz w:val="18"/>
                <w:lang w:val="en-US" w:eastAsia="zh-CN"/>
              </w:rPr>
            </w:pPr>
            <w:r>
              <w:rPr>
                <w:rFonts w:hint="eastAsia"/>
                <w:sz w:val="18"/>
                <w:lang w:val="en-US" w:eastAsia="zh-CN"/>
              </w:rPr>
              <w:t>20</w:t>
            </w:r>
          </w:p>
        </w:tc>
        <w:tc>
          <w:tcPr>
            <w:tcW w:w="986" w:type="dxa"/>
            <w:gridSpan w:val="2"/>
          </w:tcPr>
          <w:p>
            <w:pPr>
              <w:pStyle w:val="9"/>
              <w:spacing w:before="68"/>
              <w:ind w:left="19"/>
              <w:jc w:val="center"/>
              <w:rPr>
                <w:rFonts w:hint="default" w:eastAsia="宋体"/>
                <w:sz w:val="18"/>
                <w:lang w:val="en-US" w:eastAsia="zh-CN"/>
              </w:rPr>
            </w:pPr>
            <w:r>
              <w:rPr>
                <w:rFonts w:hint="eastAsia"/>
                <w:sz w:val="18"/>
                <w:lang w:val="en-US" w:eastAsia="zh-CN"/>
              </w:rPr>
              <w:t>20</w:t>
            </w:r>
          </w:p>
        </w:tc>
        <w:tc>
          <w:tcPr>
            <w:tcW w:w="710" w:type="dxa"/>
            <w:gridSpan w:val="2"/>
          </w:tcPr>
          <w:p>
            <w:pPr>
              <w:pStyle w:val="9"/>
              <w:spacing w:before="68"/>
              <w:ind w:left="19"/>
              <w:jc w:val="center"/>
              <w:rPr>
                <w:sz w:val="18"/>
              </w:rPr>
            </w:pPr>
            <w:r>
              <w:rPr>
                <w:sz w:val="18"/>
              </w:rPr>
              <w:t>—</w:t>
            </w:r>
          </w:p>
        </w:tc>
        <w:tc>
          <w:tcPr>
            <w:tcW w:w="852" w:type="dxa"/>
            <w:gridSpan w:val="2"/>
          </w:tcPr>
          <w:p>
            <w:pPr>
              <w:pStyle w:val="9"/>
              <w:spacing w:before="68"/>
              <w:ind w:left="294"/>
              <w:rPr>
                <w:sz w:val="18"/>
              </w:rPr>
            </w:pPr>
            <w:r>
              <w:rPr>
                <w:sz w:val="18"/>
              </w:rPr>
              <w:t>100</w:t>
            </w:r>
          </w:p>
        </w:tc>
        <w:tc>
          <w:tcPr>
            <w:tcW w:w="847" w:type="dxa"/>
          </w:tcPr>
          <w:p>
            <w:pPr>
              <w:pStyle w:val="9"/>
              <w:spacing w:before="68"/>
              <w:ind w:left="1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571" w:type="dxa"/>
            <w:gridSpan w:val="2"/>
            <w:vMerge w:val="continue"/>
            <w:tcBorders>
              <w:top w:val="nil"/>
            </w:tcBorders>
          </w:tcPr>
          <w:p>
            <w:pPr>
              <w:rPr>
                <w:sz w:val="2"/>
                <w:szCs w:val="2"/>
              </w:rPr>
            </w:pPr>
          </w:p>
        </w:tc>
        <w:tc>
          <w:tcPr>
            <w:tcW w:w="1846" w:type="dxa"/>
            <w:gridSpan w:val="2"/>
          </w:tcPr>
          <w:p>
            <w:pPr>
              <w:pStyle w:val="9"/>
              <w:spacing w:before="67"/>
              <w:ind w:left="657"/>
              <w:rPr>
                <w:sz w:val="18"/>
              </w:rPr>
            </w:pPr>
            <w:r>
              <w:rPr>
                <w:sz w:val="18"/>
              </w:rPr>
              <w:t>上年结转资金</w:t>
            </w:r>
          </w:p>
        </w:tc>
        <w:tc>
          <w:tcPr>
            <w:tcW w:w="1136" w:type="dxa"/>
            <w:gridSpan w:val="2"/>
          </w:tcPr>
          <w:p>
            <w:pPr>
              <w:pStyle w:val="9"/>
              <w:rPr>
                <w:rFonts w:ascii="Times New Roman"/>
                <w:sz w:val="18"/>
              </w:rPr>
            </w:pPr>
          </w:p>
        </w:tc>
        <w:tc>
          <w:tcPr>
            <w:tcW w:w="1287" w:type="dxa"/>
          </w:tcPr>
          <w:p>
            <w:pPr>
              <w:pStyle w:val="9"/>
              <w:rPr>
                <w:rFonts w:ascii="Times New Roman"/>
                <w:sz w:val="18"/>
              </w:rPr>
            </w:pPr>
          </w:p>
        </w:tc>
        <w:tc>
          <w:tcPr>
            <w:tcW w:w="986" w:type="dxa"/>
            <w:gridSpan w:val="2"/>
          </w:tcPr>
          <w:p>
            <w:pPr>
              <w:pStyle w:val="9"/>
              <w:rPr>
                <w:rFonts w:ascii="Times New Roman"/>
                <w:sz w:val="18"/>
              </w:rPr>
            </w:pPr>
          </w:p>
        </w:tc>
        <w:tc>
          <w:tcPr>
            <w:tcW w:w="710" w:type="dxa"/>
            <w:gridSpan w:val="2"/>
          </w:tcPr>
          <w:p>
            <w:pPr>
              <w:pStyle w:val="9"/>
              <w:spacing w:before="67"/>
              <w:ind w:left="19"/>
              <w:jc w:val="center"/>
              <w:rPr>
                <w:sz w:val="18"/>
              </w:rPr>
            </w:pPr>
            <w:r>
              <w:rPr>
                <w:sz w:val="18"/>
              </w:rPr>
              <w:t>—</w:t>
            </w:r>
          </w:p>
        </w:tc>
        <w:tc>
          <w:tcPr>
            <w:tcW w:w="852" w:type="dxa"/>
            <w:gridSpan w:val="2"/>
          </w:tcPr>
          <w:p>
            <w:pPr>
              <w:pStyle w:val="9"/>
              <w:rPr>
                <w:rFonts w:ascii="Times New Roman"/>
                <w:sz w:val="18"/>
              </w:rPr>
            </w:pPr>
          </w:p>
        </w:tc>
        <w:tc>
          <w:tcPr>
            <w:tcW w:w="847" w:type="dxa"/>
          </w:tcPr>
          <w:p>
            <w:pPr>
              <w:pStyle w:val="9"/>
              <w:spacing w:before="67"/>
              <w:ind w:left="1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571" w:type="dxa"/>
            <w:gridSpan w:val="2"/>
            <w:vMerge w:val="continue"/>
            <w:tcBorders>
              <w:top w:val="nil"/>
            </w:tcBorders>
          </w:tcPr>
          <w:p>
            <w:pPr>
              <w:rPr>
                <w:sz w:val="2"/>
                <w:szCs w:val="2"/>
              </w:rPr>
            </w:pPr>
          </w:p>
        </w:tc>
        <w:tc>
          <w:tcPr>
            <w:tcW w:w="1846" w:type="dxa"/>
            <w:gridSpan w:val="2"/>
          </w:tcPr>
          <w:p>
            <w:pPr>
              <w:pStyle w:val="9"/>
              <w:spacing w:before="67"/>
              <w:ind w:left="657"/>
              <w:rPr>
                <w:sz w:val="18"/>
              </w:rPr>
            </w:pPr>
            <w:r>
              <w:rPr>
                <w:sz w:val="18"/>
              </w:rPr>
              <w:t>其他资金</w:t>
            </w:r>
          </w:p>
        </w:tc>
        <w:tc>
          <w:tcPr>
            <w:tcW w:w="1136" w:type="dxa"/>
            <w:gridSpan w:val="2"/>
          </w:tcPr>
          <w:p>
            <w:pPr>
              <w:pStyle w:val="9"/>
              <w:rPr>
                <w:rFonts w:ascii="Times New Roman"/>
                <w:sz w:val="18"/>
              </w:rPr>
            </w:pPr>
          </w:p>
        </w:tc>
        <w:tc>
          <w:tcPr>
            <w:tcW w:w="1287" w:type="dxa"/>
          </w:tcPr>
          <w:p>
            <w:pPr>
              <w:pStyle w:val="9"/>
              <w:rPr>
                <w:rFonts w:ascii="Times New Roman"/>
                <w:sz w:val="18"/>
              </w:rPr>
            </w:pPr>
          </w:p>
        </w:tc>
        <w:tc>
          <w:tcPr>
            <w:tcW w:w="986" w:type="dxa"/>
            <w:gridSpan w:val="2"/>
          </w:tcPr>
          <w:p>
            <w:pPr>
              <w:pStyle w:val="9"/>
              <w:rPr>
                <w:rFonts w:ascii="Times New Roman"/>
                <w:sz w:val="18"/>
              </w:rPr>
            </w:pPr>
          </w:p>
        </w:tc>
        <w:tc>
          <w:tcPr>
            <w:tcW w:w="710" w:type="dxa"/>
            <w:gridSpan w:val="2"/>
          </w:tcPr>
          <w:p>
            <w:pPr>
              <w:pStyle w:val="9"/>
              <w:spacing w:before="67"/>
              <w:ind w:left="19"/>
              <w:jc w:val="center"/>
              <w:rPr>
                <w:sz w:val="18"/>
              </w:rPr>
            </w:pPr>
            <w:r>
              <w:rPr>
                <w:sz w:val="18"/>
              </w:rPr>
              <w:t>—</w:t>
            </w:r>
          </w:p>
        </w:tc>
        <w:tc>
          <w:tcPr>
            <w:tcW w:w="852" w:type="dxa"/>
            <w:gridSpan w:val="2"/>
          </w:tcPr>
          <w:p>
            <w:pPr>
              <w:pStyle w:val="9"/>
              <w:rPr>
                <w:rFonts w:ascii="Times New Roman"/>
                <w:sz w:val="18"/>
              </w:rPr>
            </w:pPr>
          </w:p>
        </w:tc>
        <w:tc>
          <w:tcPr>
            <w:tcW w:w="847" w:type="dxa"/>
          </w:tcPr>
          <w:p>
            <w:pPr>
              <w:pStyle w:val="9"/>
              <w:spacing w:before="67"/>
              <w:ind w:left="1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89" w:type="dxa"/>
            <w:vMerge w:val="restart"/>
          </w:tcPr>
          <w:p>
            <w:pPr>
              <w:pStyle w:val="9"/>
              <w:rPr>
                <w:sz w:val="18"/>
              </w:rPr>
            </w:pPr>
          </w:p>
          <w:p>
            <w:pPr>
              <w:pStyle w:val="9"/>
              <w:spacing w:before="8"/>
              <w:rPr>
                <w:sz w:val="13"/>
              </w:rPr>
            </w:pPr>
          </w:p>
          <w:p>
            <w:pPr>
              <w:pStyle w:val="9"/>
              <w:spacing w:before="1" w:line="252" w:lineRule="auto"/>
              <w:ind w:left="119" w:right="95"/>
              <w:jc w:val="both"/>
              <w:rPr>
                <w:sz w:val="18"/>
              </w:rPr>
            </w:pPr>
            <w:r>
              <w:rPr>
                <w:sz w:val="18"/>
              </w:rPr>
              <w:t>年度总体目标</w:t>
            </w:r>
          </w:p>
        </w:tc>
        <w:tc>
          <w:tcPr>
            <w:tcW w:w="5251" w:type="dxa"/>
            <w:gridSpan w:val="6"/>
          </w:tcPr>
          <w:p>
            <w:pPr>
              <w:pStyle w:val="9"/>
              <w:spacing w:before="67"/>
              <w:ind w:left="2174" w:right="2157"/>
              <w:jc w:val="center"/>
              <w:rPr>
                <w:sz w:val="18"/>
              </w:rPr>
            </w:pPr>
            <w:r>
              <w:rPr>
                <w:sz w:val="18"/>
              </w:rPr>
              <w:t>预期目标</w:t>
            </w:r>
          </w:p>
        </w:tc>
        <w:tc>
          <w:tcPr>
            <w:tcW w:w="3395" w:type="dxa"/>
            <w:gridSpan w:val="7"/>
          </w:tcPr>
          <w:p>
            <w:pPr>
              <w:pStyle w:val="9"/>
              <w:spacing w:before="67"/>
              <w:ind w:left="1148" w:right="1132"/>
              <w:jc w:val="center"/>
              <w:rPr>
                <w:sz w:val="18"/>
              </w:rPr>
            </w:pPr>
            <w:r>
              <w:rPr>
                <w:sz w:val="18"/>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8" w:hRule="atLeast"/>
        </w:trPr>
        <w:tc>
          <w:tcPr>
            <w:tcW w:w="589" w:type="dxa"/>
            <w:vMerge w:val="continue"/>
            <w:tcBorders>
              <w:top w:val="nil"/>
            </w:tcBorders>
          </w:tcPr>
          <w:p>
            <w:pPr>
              <w:rPr>
                <w:sz w:val="2"/>
                <w:szCs w:val="2"/>
              </w:rPr>
            </w:pPr>
          </w:p>
        </w:tc>
        <w:tc>
          <w:tcPr>
            <w:tcW w:w="5251" w:type="dxa"/>
            <w:gridSpan w:val="6"/>
          </w:tcPr>
          <w:p>
            <w:pPr>
              <w:pStyle w:val="9"/>
              <w:spacing w:before="68"/>
              <w:ind w:left="117"/>
              <w:jc w:val="center"/>
              <w:rPr>
                <w:rFonts w:hint="eastAsia"/>
                <w:sz w:val="18"/>
                <w:lang w:val="en-US" w:eastAsia="zh-CN"/>
              </w:rPr>
            </w:pPr>
            <w:r>
              <w:rPr>
                <w:rFonts w:hint="eastAsia"/>
                <w:sz w:val="18"/>
                <w:lang w:val="en-US" w:eastAsia="zh-CN"/>
              </w:rPr>
              <w:t>1.完成全市政策性粮油收购、储存和流通环节的质量、卫生检测工作；完成政策性粮油卫生监督检查与监测。粮食收获质量调查和品质测报工作。保障全市粮食质量安全。</w:t>
            </w:r>
          </w:p>
          <w:p>
            <w:pPr>
              <w:pStyle w:val="9"/>
              <w:spacing w:before="68"/>
              <w:ind w:left="117"/>
              <w:jc w:val="center"/>
              <w:rPr>
                <w:rFonts w:hint="default"/>
                <w:sz w:val="18"/>
                <w:lang w:val="en-US" w:eastAsia="zh-CN"/>
              </w:rPr>
            </w:pPr>
            <w:r>
              <w:rPr>
                <w:rFonts w:hint="eastAsia"/>
                <w:sz w:val="18"/>
                <w:lang w:val="en-US" w:eastAsia="zh-CN"/>
              </w:rPr>
              <w:t>2.进一步提升检测能力，百分百完成上级下达的专项检验检测任务</w:t>
            </w:r>
          </w:p>
        </w:tc>
        <w:tc>
          <w:tcPr>
            <w:tcW w:w="3395" w:type="dxa"/>
            <w:gridSpan w:val="7"/>
          </w:tcPr>
          <w:p>
            <w:pPr>
              <w:pStyle w:val="9"/>
              <w:spacing w:before="68"/>
              <w:ind w:left="117"/>
              <w:jc w:val="center"/>
              <w:rPr>
                <w:rFonts w:hint="eastAsia"/>
                <w:sz w:val="18"/>
                <w:lang w:val="en-US" w:eastAsia="zh-CN"/>
              </w:rPr>
            </w:pPr>
            <w:r>
              <w:rPr>
                <w:rFonts w:hint="eastAsia"/>
                <w:sz w:val="18"/>
                <w:lang w:val="en-US" w:eastAsia="zh-CN"/>
              </w:rPr>
              <w:t>共出具检验报告54份，其中接受监督检验样品18批次，接受外部委托20批次；接收专项检验样品16批次。出具数据未出报告45份，为新收获粮质安全监测样品44批次，入库检查样品1次。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589" w:type="dxa"/>
            <w:vMerge w:val="restart"/>
          </w:tcPr>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spacing w:before="123" w:line="252" w:lineRule="auto"/>
              <w:ind w:left="207" w:right="189"/>
              <w:jc w:val="both"/>
              <w:rPr>
                <w:sz w:val="18"/>
              </w:rPr>
            </w:pPr>
            <w:r>
              <w:rPr>
                <w:sz w:val="18"/>
              </w:rPr>
              <w:t>绩效指标</w:t>
            </w:r>
          </w:p>
        </w:tc>
        <w:tc>
          <w:tcPr>
            <w:tcW w:w="982" w:type="dxa"/>
            <w:vAlign w:val="center"/>
          </w:tcPr>
          <w:p>
            <w:pPr>
              <w:pStyle w:val="9"/>
              <w:spacing w:before="2"/>
              <w:jc w:val="center"/>
              <w:rPr>
                <w:sz w:val="16"/>
              </w:rPr>
            </w:pPr>
          </w:p>
          <w:p>
            <w:pPr>
              <w:pStyle w:val="9"/>
              <w:ind w:left="134"/>
              <w:jc w:val="center"/>
              <w:rPr>
                <w:sz w:val="18"/>
              </w:rPr>
            </w:pPr>
            <w:r>
              <w:rPr>
                <w:sz w:val="18"/>
              </w:rPr>
              <w:t>一级指标</w:t>
            </w:r>
          </w:p>
        </w:tc>
        <w:tc>
          <w:tcPr>
            <w:tcW w:w="1215" w:type="dxa"/>
            <w:vAlign w:val="center"/>
          </w:tcPr>
          <w:p>
            <w:pPr>
              <w:pStyle w:val="9"/>
              <w:spacing w:before="68"/>
              <w:ind w:left="117"/>
              <w:jc w:val="center"/>
              <w:rPr>
                <w:rFonts w:hint="eastAsia"/>
                <w:sz w:val="18"/>
                <w:lang w:val="en-US" w:eastAsia="zh-CN"/>
              </w:rPr>
            </w:pPr>
          </w:p>
          <w:p>
            <w:pPr>
              <w:pStyle w:val="9"/>
              <w:spacing w:before="68"/>
              <w:ind w:left="117"/>
              <w:jc w:val="center"/>
              <w:rPr>
                <w:rFonts w:hint="eastAsia"/>
                <w:sz w:val="18"/>
                <w:lang w:val="en-US" w:eastAsia="zh-CN"/>
              </w:rPr>
            </w:pPr>
            <w:r>
              <w:rPr>
                <w:rFonts w:hint="eastAsia"/>
                <w:sz w:val="18"/>
                <w:lang w:val="en-US" w:eastAsia="zh-CN"/>
              </w:rPr>
              <w:t>二级指标</w:t>
            </w:r>
          </w:p>
        </w:tc>
        <w:tc>
          <w:tcPr>
            <w:tcW w:w="1322" w:type="dxa"/>
            <w:gridSpan w:val="2"/>
            <w:vAlign w:val="center"/>
          </w:tcPr>
          <w:p>
            <w:pPr>
              <w:pStyle w:val="9"/>
              <w:spacing w:before="68"/>
              <w:ind w:left="117"/>
              <w:jc w:val="center"/>
              <w:rPr>
                <w:rFonts w:hint="eastAsia"/>
                <w:sz w:val="18"/>
                <w:lang w:val="en-US" w:eastAsia="zh-CN"/>
              </w:rPr>
            </w:pPr>
          </w:p>
          <w:p>
            <w:pPr>
              <w:pStyle w:val="9"/>
              <w:spacing w:before="68"/>
              <w:ind w:left="117"/>
              <w:jc w:val="center"/>
              <w:rPr>
                <w:rFonts w:hint="eastAsia"/>
                <w:sz w:val="18"/>
                <w:lang w:val="en-US" w:eastAsia="zh-CN"/>
              </w:rPr>
            </w:pPr>
            <w:r>
              <w:rPr>
                <w:rFonts w:hint="eastAsia"/>
                <w:sz w:val="18"/>
                <w:lang w:val="en-US" w:eastAsia="zh-CN"/>
              </w:rPr>
              <w:t>三级指标</w:t>
            </w:r>
          </w:p>
        </w:tc>
        <w:tc>
          <w:tcPr>
            <w:tcW w:w="1732" w:type="dxa"/>
            <w:gridSpan w:val="2"/>
            <w:vAlign w:val="center"/>
          </w:tcPr>
          <w:p>
            <w:pPr>
              <w:pStyle w:val="9"/>
              <w:spacing w:before="68"/>
              <w:ind w:left="117"/>
              <w:jc w:val="center"/>
              <w:rPr>
                <w:rFonts w:hint="eastAsia"/>
                <w:sz w:val="18"/>
                <w:lang w:val="en-US" w:eastAsia="zh-CN"/>
              </w:rPr>
            </w:pPr>
            <w:r>
              <w:rPr>
                <w:rFonts w:hint="eastAsia"/>
                <w:sz w:val="18"/>
                <w:lang w:val="en-US" w:eastAsia="zh-CN"/>
              </w:rPr>
              <w:t>年度指标值</w:t>
            </w:r>
          </w:p>
        </w:tc>
        <w:tc>
          <w:tcPr>
            <w:tcW w:w="764" w:type="dxa"/>
            <w:vAlign w:val="center"/>
          </w:tcPr>
          <w:p>
            <w:pPr>
              <w:pStyle w:val="9"/>
              <w:spacing w:before="68"/>
              <w:ind w:left="117"/>
              <w:jc w:val="center"/>
              <w:rPr>
                <w:rFonts w:hint="eastAsia"/>
                <w:sz w:val="18"/>
                <w:lang w:val="en-US" w:eastAsia="zh-CN"/>
              </w:rPr>
            </w:pPr>
            <w:r>
              <w:rPr>
                <w:rFonts w:hint="eastAsia"/>
                <w:sz w:val="18"/>
                <w:lang w:val="en-US" w:eastAsia="zh-CN"/>
              </w:rPr>
              <w:t>实际完成值</w:t>
            </w:r>
          </w:p>
        </w:tc>
        <w:tc>
          <w:tcPr>
            <w:tcW w:w="681" w:type="dxa"/>
            <w:gridSpan w:val="2"/>
            <w:vAlign w:val="center"/>
          </w:tcPr>
          <w:p>
            <w:pPr>
              <w:pStyle w:val="9"/>
              <w:spacing w:before="85" w:line="252" w:lineRule="auto"/>
              <w:ind w:left="198" w:right="177"/>
              <w:jc w:val="center"/>
              <w:rPr>
                <w:sz w:val="18"/>
              </w:rPr>
            </w:pPr>
            <w:r>
              <w:rPr>
                <w:sz w:val="18"/>
              </w:rPr>
              <w:t>分值</w:t>
            </w:r>
          </w:p>
        </w:tc>
        <w:tc>
          <w:tcPr>
            <w:tcW w:w="887" w:type="dxa"/>
            <w:gridSpan w:val="2"/>
            <w:vAlign w:val="center"/>
          </w:tcPr>
          <w:p>
            <w:pPr>
              <w:pStyle w:val="9"/>
              <w:spacing w:before="85" w:line="252" w:lineRule="auto"/>
              <w:ind w:left="197" w:right="178"/>
              <w:jc w:val="center"/>
              <w:rPr>
                <w:sz w:val="18"/>
              </w:rPr>
            </w:pPr>
            <w:r>
              <w:rPr>
                <w:sz w:val="18"/>
              </w:rPr>
              <w:t>得分</w:t>
            </w:r>
          </w:p>
        </w:tc>
        <w:tc>
          <w:tcPr>
            <w:tcW w:w="1063" w:type="dxa"/>
            <w:gridSpan w:val="2"/>
            <w:vAlign w:val="center"/>
          </w:tcPr>
          <w:p>
            <w:pPr>
              <w:pStyle w:val="9"/>
              <w:spacing w:before="85" w:line="252" w:lineRule="auto"/>
              <w:ind w:left="265" w:right="153" w:hanging="89"/>
              <w:jc w:val="center"/>
              <w:rPr>
                <w:sz w:val="18"/>
              </w:rPr>
            </w:pPr>
            <w:r>
              <w:rPr>
                <w:sz w:val="18"/>
              </w:rPr>
              <w:t>偏差原因分析及改进措施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589" w:type="dxa"/>
            <w:vMerge w:val="continue"/>
            <w:tcBorders>
              <w:top w:val="nil"/>
            </w:tcBorders>
          </w:tcPr>
          <w:p>
            <w:pPr>
              <w:rPr>
                <w:sz w:val="2"/>
                <w:szCs w:val="2"/>
              </w:rPr>
            </w:pPr>
          </w:p>
        </w:tc>
        <w:tc>
          <w:tcPr>
            <w:tcW w:w="982" w:type="dxa"/>
            <w:vMerge w:val="restart"/>
          </w:tcPr>
          <w:p>
            <w:pPr>
              <w:pStyle w:val="9"/>
              <w:spacing w:before="68"/>
              <w:ind w:left="117"/>
              <w:jc w:val="center"/>
              <w:rPr>
                <w:sz w:val="18"/>
              </w:rPr>
            </w:pPr>
          </w:p>
          <w:p>
            <w:pPr>
              <w:pStyle w:val="9"/>
              <w:spacing w:before="68"/>
              <w:ind w:left="117"/>
              <w:jc w:val="center"/>
              <w:rPr>
                <w:sz w:val="18"/>
              </w:rPr>
            </w:pPr>
          </w:p>
          <w:p>
            <w:pPr>
              <w:pStyle w:val="9"/>
              <w:spacing w:before="68"/>
              <w:ind w:left="117"/>
              <w:jc w:val="center"/>
              <w:rPr>
                <w:sz w:val="18"/>
              </w:rPr>
            </w:pPr>
          </w:p>
          <w:p>
            <w:pPr>
              <w:pStyle w:val="9"/>
              <w:spacing w:before="68"/>
              <w:ind w:left="117"/>
              <w:jc w:val="center"/>
              <w:rPr>
                <w:sz w:val="18"/>
              </w:rPr>
            </w:pPr>
          </w:p>
          <w:p>
            <w:pPr>
              <w:pStyle w:val="9"/>
              <w:spacing w:before="68"/>
              <w:ind w:left="117"/>
              <w:jc w:val="center"/>
              <w:rPr>
                <w:sz w:val="18"/>
              </w:rPr>
            </w:pPr>
            <w:r>
              <w:rPr>
                <w:sz w:val="18"/>
              </w:rPr>
              <w:t>产出指标50 分</w:t>
            </w:r>
          </w:p>
        </w:tc>
        <w:tc>
          <w:tcPr>
            <w:tcW w:w="1215" w:type="dxa"/>
            <w:vAlign w:val="center"/>
          </w:tcPr>
          <w:p>
            <w:pPr>
              <w:pStyle w:val="9"/>
              <w:spacing w:before="68"/>
              <w:ind w:left="117"/>
              <w:jc w:val="center"/>
              <w:rPr>
                <w:rFonts w:hint="eastAsia"/>
                <w:sz w:val="18"/>
                <w:lang w:val="en-US" w:eastAsia="zh-CN"/>
              </w:rPr>
            </w:pPr>
            <w:r>
              <w:rPr>
                <w:rFonts w:hint="eastAsia"/>
                <w:sz w:val="18"/>
                <w:lang w:val="en-US" w:eastAsia="zh-CN"/>
              </w:rPr>
              <w:t>数量指标</w:t>
            </w:r>
          </w:p>
        </w:tc>
        <w:tc>
          <w:tcPr>
            <w:tcW w:w="1322" w:type="dxa"/>
            <w:gridSpan w:val="2"/>
            <w:vAlign w:val="center"/>
          </w:tcPr>
          <w:p>
            <w:pPr>
              <w:pStyle w:val="9"/>
              <w:spacing w:before="68"/>
              <w:ind w:left="117"/>
              <w:jc w:val="center"/>
              <w:rPr>
                <w:rFonts w:hint="eastAsia"/>
                <w:sz w:val="18"/>
                <w:lang w:val="en-US" w:eastAsia="zh-CN"/>
              </w:rPr>
            </w:pPr>
            <w:r>
              <w:rPr>
                <w:rFonts w:hint="eastAsia"/>
                <w:sz w:val="18"/>
                <w:lang w:val="en-US" w:eastAsia="zh-CN"/>
              </w:rPr>
              <w:t>实际检测数量</w:t>
            </w:r>
          </w:p>
        </w:tc>
        <w:tc>
          <w:tcPr>
            <w:tcW w:w="1732" w:type="dxa"/>
            <w:gridSpan w:val="2"/>
            <w:vAlign w:val="center"/>
          </w:tcPr>
          <w:p>
            <w:pPr>
              <w:pStyle w:val="9"/>
              <w:spacing w:before="68"/>
              <w:ind w:left="117"/>
              <w:jc w:val="center"/>
              <w:rPr>
                <w:rFonts w:hint="eastAsia"/>
                <w:sz w:val="18"/>
                <w:lang w:val="en-US" w:eastAsia="zh-CN"/>
              </w:rPr>
            </w:pPr>
            <w:r>
              <w:rPr>
                <w:rFonts w:hint="eastAsia"/>
                <w:sz w:val="18"/>
                <w:lang w:val="en-US" w:eastAsia="zh-CN"/>
              </w:rPr>
              <w:t>上级下达检测数量</w:t>
            </w:r>
          </w:p>
        </w:tc>
        <w:tc>
          <w:tcPr>
            <w:tcW w:w="764" w:type="dxa"/>
            <w:vAlign w:val="center"/>
          </w:tcPr>
          <w:p>
            <w:pPr>
              <w:pStyle w:val="9"/>
              <w:spacing w:before="68"/>
              <w:ind w:left="117"/>
              <w:jc w:val="center"/>
              <w:rPr>
                <w:rFonts w:hint="eastAsia"/>
                <w:sz w:val="18"/>
                <w:lang w:val="en-US" w:eastAsia="zh-CN"/>
              </w:rPr>
            </w:pPr>
          </w:p>
          <w:p>
            <w:pPr>
              <w:pStyle w:val="9"/>
              <w:spacing w:before="68"/>
              <w:ind w:left="117"/>
              <w:jc w:val="center"/>
              <w:rPr>
                <w:rFonts w:hint="default"/>
                <w:sz w:val="18"/>
                <w:lang w:val="en-US" w:eastAsia="zh-CN"/>
              </w:rPr>
            </w:pPr>
            <w:r>
              <w:rPr>
                <w:rFonts w:hint="eastAsia"/>
                <w:sz w:val="18"/>
                <w:lang w:val="en-US" w:eastAsia="zh-CN"/>
              </w:rPr>
              <w:t>99</w:t>
            </w:r>
          </w:p>
        </w:tc>
        <w:tc>
          <w:tcPr>
            <w:tcW w:w="681" w:type="dxa"/>
            <w:gridSpan w:val="2"/>
            <w:vAlign w:val="center"/>
          </w:tcPr>
          <w:p>
            <w:pPr>
              <w:pStyle w:val="9"/>
              <w:spacing w:before="68"/>
              <w:ind w:left="117"/>
              <w:jc w:val="center"/>
              <w:rPr>
                <w:rFonts w:hint="eastAsia"/>
                <w:sz w:val="18"/>
                <w:lang w:val="en-US" w:eastAsia="zh-CN"/>
              </w:rPr>
            </w:pPr>
          </w:p>
          <w:p>
            <w:pPr>
              <w:pStyle w:val="9"/>
              <w:spacing w:before="68"/>
              <w:ind w:left="117"/>
              <w:jc w:val="center"/>
              <w:rPr>
                <w:rFonts w:hint="eastAsia"/>
                <w:sz w:val="18"/>
                <w:lang w:val="en-US" w:eastAsia="zh-CN"/>
              </w:rPr>
            </w:pPr>
            <w:r>
              <w:rPr>
                <w:rFonts w:hint="eastAsia"/>
                <w:sz w:val="18"/>
                <w:lang w:val="en-US" w:eastAsia="zh-CN"/>
              </w:rPr>
              <w:t>15</w:t>
            </w:r>
          </w:p>
        </w:tc>
        <w:tc>
          <w:tcPr>
            <w:tcW w:w="887" w:type="dxa"/>
            <w:gridSpan w:val="2"/>
            <w:vAlign w:val="center"/>
          </w:tcPr>
          <w:p>
            <w:pPr>
              <w:pStyle w:val="9"/>
              <w:spacing w:before="68"/>
              <w:ind w:left="117"/>
              <w:jc w:val="center"/>
              <w:rPr>
                <w:rFonts w:hint="eastAsia"/>
                <w:sz w:val="18"/>
                <w:lang w:val="en-US" w:eastAsia="zh-CN"/>
              </w:rPr>
            </w:pPr>
          </w:p>
          <w:p>
            <w:pPr>
              <w:pStyle w:val="9"/>
              <w:spacing w:before="68"/>
              <w:ind w:left="117"/>
              <w:jc w:val="center"/>
              <w:rPr>
                <w:rFonts w:hint="eastAsia"/>
                <w:sz w:val="18"/>
                <w:lang w:val="en-US" w:eastAsia="zh-CN"/>
              </w:rPr>
            </w:pPr>
            <w:r>
              <w:rPr>
                <w:rFonts w:hint="eastAsia"/>
                <w:sz w:val="18"/>
                <w:lang w:val="en-US" w:eastAsia="zh-CN"/>
              </w:rPr>
              <w:t>15</w:t>
            </w:r>
          </w:p>
        </w:tc>
        <w:tc>
          <w:tcPr>
            <w:tcW w:w="1063" w:type="dxa"/>
            <w:gridSpan w:val="2"/>
            <w:vAlign w:val="center"/>
          </w:tcPr>
          <w:p>
            <w:pPr>
              <w:pStyle w:val="9"/>
              <w:ind w:right="206"/>
              <w:jc w:val="center"/>
              <w:rPr>
                <w:rFonts w:hint="eastAsia" w:ascii="宋体" w:hAnsi="宋体" w:eastAsia="宋体" w:cs="宋体"/>
                <w:kern w:val="2"/>
                <w:sz w:val="18"/>
                <w:szCs w:val="22"/>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589" w:type="dxa"/>
            <w:vMerge w:val="continue"/>
            <w:tcBorders>
              <w:top w:val="nil"/>
            </w:tcBorders>
          </w:tcPr>
          <w:p>
            <w:pPr>
              <w:rPr>
                <w:sz w:val="2"/>
                <w:szCs w:val="2"/>
              </w:rPr>
            </w:pPr>
          </w:p>
        </w:tc>
        <w:tc>
          <w:tcPr>
            <w:tcW w:w="982" w:type="dxa"/>
            <w:vMerge w:val="continue"/>
            <w:tcBorders>
              <w:top w:val="nil"/>
            </w:tcBorders>
          </w:tcPr>
          <w:p>
            <w:pPr>
              <w:jc w:val="center"/>
              <w:rPr>
                <w:rFonts w:ascii="宋体" w:hAnsi="宋体" w:eastAsia="宋体" w:cs="宋体"/>
                <w:kern w:val="2"/>
                <w:sz w:val="18"/>
                <w:szCs w:val="22"/>
                <w:lang w:val="zh-CN" w:eastAsia="zh-CN" w:bidi="zh-CN"/>
              </w:rPr>
            </w:pPr>
          </w:p>
        </w:tc>
        <w:tc>
          <w:tcPr>
            <w:tcW w:w="1215" w:type="dxa"/>
            <w:vAlign w:val="center"/>
          </w:tcPr>
          <w:p>
            <w:pPr>
              <w:pStyle w:val="9"/>
              <w:spacing w:before="68"/>
              <w:ind w:left="117"/>
              <w:jc w:val="center"/>
              <w:rPr>
                <w:rFonts w:hint="eastAsia"/>
                <w:sz w:val="18"/>
                <w:lang w:val="zh-CN" w:eastAsia="zh-CN"/>
              </w:rPr>
            </w:pPr>
          </w:p>
          <w:p>
            <w:pPr>
              <w:pStyle w:val="9"/>
              <w:spacing w:before="68"/>
              <w:ind w:left="117"/>
              <w:jc w:val="center"/>
              <w:rPr>
                <w:rFonts w:hint="eastAsia"/>
                <w:sz w:val="18"/>
                <w:lang w:val="zh-CN" w:eastAsia="zh-CN"/>
              </w:rPr>
            </w:pPr>
            <w:r>
              <w:rPr>
                <w:rFonts w:hint="eastAsia"/>
                <w:sz w:val="18"/>
                <w:lang w:val="zh-CN" w:eastAsia="zh-CN"/>
              </w:rPr>
              <w:t>质量指标</w:t>
            </w:r>
          </w:p>
        </w:tc>
        <w:tc>
          <w:tcPr>
            <w:tcW w:w="1322" w:type="dxa"/>
            <w:gridSpan w:val="2"/>
            <w:vAlign w:val="center"/>
          </w:tcPr>
          <w:p>
            <w:pPr>
              <w:pStyle w:val="9"/>
              <w:spacing w:before="68"/>
              <w:ind w:left="117"/>
              <w:jc w:val="center"/>
              <w:rPr>
                <w:rFonts w:hint="eastAsia"/>
                <w:sz w:val="18"/>
                <w:lang w:val="zh-CN" w:eastAsia="zh-CN"/>
              </w:rPr>
            </w:pPr>
            <w:r>
              <w:rPr>
                <w:rFonts w:hint="eastAsia"/>
                <w:sz w:val="18"/>
                <w:lang w:val="zh-CN" w:eastAsia="zh-CN"/>
              </w:rPr>
              <w:t>检验准确率</w:t>
            </w:r>
          </w:p>
        </w:tc>
        <w:tc>
          <w:tcPr>
            <w:tcW w:w="1732" w:type="dxa"/>
            <w:gridSpan w:val="2"/>
            <w:vAlign w:val="center"/>
          </w:tcPr>
          <w:p>
            <w:pPr>
              <w:pStyle w:val="9"/>
              <w:spacing w:before="68"/>
              <w:ind w:left="117"/>
              <w:jc w:val="center"/>
              <w:rPr>
                <w:rFonts w:hint="eastAsia"/>
                <w:sz w:val="18"/>
                <w:lang w:val="zh-CN" w:eastAsia="zh-CN"/>
              </w:rPr>
            </w:pPr>
            <w:r>
              <w:rPr>
                <w:rFonts w:hint="eastAsia"/>
                <w:sz w:val="18"/>
                <w:lang w:val="zh-CN" w:eastAsia="zh-CN"/>
              </w:rPr>
              <w:t>≥98百分比</w:t>
            </w:r>
          </w:p>
        </w:tc>
        <w:tc>
          <w:tcPr>
            <w:tcW w:w="764" w:type="dxa"/>
            <w:vAlign w:val="center"/>
          </w:tcPr>
          <w:p>
            <w:pPr>
              <w:pStyle w:val="9"/>
              <w:spacing w:before="68"/>
              <w:ind w:left="117"/>
              <w:jc w:val="center"/>
              <w:rPr>
                <w:rFonts w:hint="default"/>
                <w:sz w:val="18"/>
                <w:lang w:val="en-US" w:eastAsia="zh-CN"/>
              </w:rPr>
            </w:pPr>
            <w:r>
              <w:rPr>
                <w:rFonts w:hint="eastAsia"/>
                <w:sz w:val="18"/>
                <w:lang w:val="en-US" w:eastAsia="zh-CN"/>
              </w:rPr>
              <w:t>100</w:t>
            </w:r>
          </w:p>
        </w:tc>
        <w:tc>
          <w:tcPr>
            <w:tcW w:w="681" w:type="dxa"/>
            <w:gridSpan w:val="2"/>
            <w:vAlign w:val="center"/>
          </w:tcPr>
          <w:p>
            <w:pPr>
              <w:pStyle w:val="9"/>
              <w:spacing w:before="68"/>
              <w:ind w:left="117"/>
              <w:jc w:val="center"/>
              <w:rPr>
                <w:rFonts w:hint="default"/>
                <w:sz w:val="18"/>
                <w:lang w:val="en-US" w:eastAsia="zh-CN"/>
              </w:rPr>
            </w:pPr>
            <w:r>
              <w:rPr>
                <w:rFonts w:hint="eastAsia"/>
                <w:sz w:val="18"/>
                <w:lang w:val="en-US" w:eastAsia="zh-CN"/>
              </w:rPr>
              <w:t>15</w:t>
            </w:r>
          </w:p>
        </w:tc>
        <w:tc>
          <w:tcPr>
            <w:tcW w:w="887" w:type="dxa"/>
            <w:gridSpan w:val="2"/>
            <w:vAlign w:val="center"/>
          </w:tcPr>
          <w:p>
            <w:pPr>
              <w:pStyle w:val="9"/>
              <w:spacing w:before="68"/>
              <w:ind w:left="117"/>
              <w:jc w:val="center"/>
              <w:rPr>
                <w:rFonts w:hint="default"/>
                <w:sz w:val="18"/>
                <w:lang w:val="en-US" w:eastAsia="zh-CN"/>
              </w:rPr>
            </w:pPr>
            <w:r>
              <w:rPr>
                <w:rFonts w:hint="eastAsia"/>
                <w:sz w:val="18"/>
                <w:lang w:val="en-US" w:eastAsia="zh-CN"/>
              </w:rPr>
              <w:t>15</w:t>
            </w:r>
          </w:p>
        </w:tc>
        <w:tc>
          <w:tcPr>
            <w:tcW w:w="1063" w:type="dxa"/>
            <w:gridSpan w:val="2"/>
            <w:vAlign w:val="center"/>
          </w:tcPr>
          <w:p>
            <w:pPr>
              <w:pStyle w:val="9"/>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trPr>
        <w:tc>
          <w:tcPr>
            <w:tcW w:w="589" w:type="dxa"/>
            <w:vMerge w:val="continue"/>
            <w:tcBorders>
              <w:top w:val="nil"/>
            </w:tcBorders>
          </w:tcPr>
          <w:p>
            <w:pPr>
              <w:rPr>
                <w:sz w:val="2"/>
                <w:szCs w:val="2"/>
              </w:rPr>
            </w:pPr>
          </w:p>
        </w:tc>
        <w:tc>
          <w:tcPr>
            <w:tcW w:w="982" w:type="dxa"/>
            <w:vMerge w:val="continue"/>
            <w:tcBorders>
              <w:top w:val="nil"/>
            </w:tcBorders>
          </w:tcPr>
          <w:p>
            <w:pPr>
              <w:jc w:val="center"/>
              <w:rPr>
                <w:rFonts w:ascii="宋体" w:hAnsi="宋体" w:eastAsia="宋体" w:cs="宋体"/>
                <w:kern w:val="2"/>
                <w:sz w:val="18"/>
                <w:szCs w:val="22"/>
                <w:lang w:val="zh-CN" w:eastAsia="zh-CN" w:bidi="zh-CN"/>
              </w:rPr>
            </w:pPr>
          </w:p>
        </w:tc>
        <w:tc>
          <w:tcPr>
            <w:tcW w:w="1215" w:type="dxa"/>
            <w:vAlign w:val="center"/>
          </w:tcPr>
          <w:p>
            <w:pPr>
              <w:pStyle w:val="9"/>
              <w:spacing w:before="68"/>
              <w:ind w:left="117"/>
              <w:jc w:val="center"/>
              <w:rPr>
                <w:rFonts w:hint="eastAsia"/>
                <w:sz w:val="18"/>
                <w:lang w:val="zh-CN" w:eastAsia="zh-CN"/>
              </w:rPr>
            </w:pPr>
          </w:p>
          <w:p>
            <w:pPr>
              <w:pStyle w:val="9"/>
              <w:spacing w:before="68"/>
              <w:ind w:left="117"/>
              <w:jc w:val="center"/>
              <w:rPr>
                <w:rFonts w:hint="eastAsia"/>
                <w:sz w:val="18"/>
                <w:lang w:val="zh-CN" w:eastAsia="zh-CN"/>
              </w:rPr>
            </w:pPr>
            <w:r>
              <w:rPr>
                <w:rFonts w:hint="eastAsia"/>
                <w:sz w:val="18"/>
                <w:lang w:val="zh-CN" w:eastAsia="zh-CN"/>
              </w:rPr>
              <w:t>时效指标</w:t>
            </w:r>
          </w:p>
        </w:tc>
        <w:tc>
          <w:tcPr>
            <w:tcW w:w="1322" w:type="dxa"/>
            <w:gridSpan w:val="2"/>
            <w:vAlign w:val="center"/>
          </w:tcPr>
          <w:p>
            <w:pPr>
              <w:pStyle w:val="9"/>
              <w:spacing w:before="68"/>
              <w:ind w:left="117"/>
              <w:jc w:val="center"/>
              <w:rPr>
                <w:rFonts w:hint="eastAsia"/>
                <w:sz w:val="18"/>
                <w:lang w:val="zh-CN" w:eastAsia="zh-CN"/>
              </w:rPr>
            </w:pPr>
            <w:r>
              <w:rPr>
                <w:rFonts w:hint="eastAsia"/>
                <w:sz w:val="18"/>
                <w:lang w:val="zh-CN" w:eastAsia="zh-CN"/>
              </w:rPr>
              <w:t>检测及时率</w:t>
            </w:r>
          </w:p>
        </w:tc>
        <w:tc>
          <w:tcPr>
            <w:tcW w:w="1732" w:type="dxa"/>
            <w:gridSpan w:val="2"/>
            <w:vAlign w:val="center"/>
          </w:tcPr>
          <w:p>
            <w:pPr>
              <w:pStyle w:val="9"/>
              <w:spacing w:before="68"/>
              <w:ind w:left="117"/>
              <w:jc w:val="center"/>
              <w:rPr>
                <w:rFonts w:hint="eastAsia"/>
                <w:sz w:val="18"/>
                <w:lang w:val="zh-CN" w:eastAsia="zh-CN"/>
              </w:rPr>
            </w:pPr>
            <w:r>
              <w:rPr>
                <w:rFonts w:hint="eastAsia"/>
                <w:sz w:val="18"/>
                <w:lang w:val="zh-CN" w:eastAsia="zh-CN"/>
              </w:rPr>
              <w:t>≥98百分比</w:t>
            </w:r>
          </w:p>
        </w:tc>
        <w:tc>
          <w:tcPr>
            <w:tcW w:w="764" w:type="dxa"/>
            <w:vAlign w:val="center"/>
          </w:tcPr>
          <w:p>
            <w:pPr>
              <w:pStyle w:val="9"/>
              <w:spacing w:before="68"/>
              <w:ind w:left="117"/>
              <w:jc w:val="center"/>
              <w:rPr>
                <w:rFonts w:hint="default"/>
                <w:sz w:val="18"/>
                <w:lang w:val="en-US" w:eastAsia="zh-CN"/>
              </w:rPr>
            </w:pPr>
            <w:r>
              <w:rPr>
                <w:rFonts w:hint="eastAsia"/>
                <w:sz w:val="18"/>
                <w:lang w:val="en-US" w:eastAsia="zh-CN"/>
              </w:rPr>
              <w:t>100</w:t>
            </w:r>
          </w:p>
        </w:tc>
        <w:tc>
          <w:tcPr>
            <w:tcW w:w="681" w:type="dxa"/>
            <w:gridSpan w:val="2"/>
            <w:vAlign w:val="center"/>
          </w:tcPr>
          <w:p>
            <w:pPr>
              <w:pStyle w:val="9"/>
              <w:spacing w:before="68"/>
              <w:ind w:left="117"/>
              <w:jc w:val="center"/>
              <w:rPr>
                <w:rFonts w:hint="default"/>
                <w:sz w:val="18"/>
                <w:lang w:val="en-US" w:eastAsia="zh-CN"/>
              </w:rPr>
            </w:pPr>
            <w:r>
              <w:rPr>
                <w:rFonts w:hint="eastAsia"/>
                <w:sz w:val="18"/>
                <w:lang w:val="en-US" w:eastAsia="zh-CN"/>
              </w:rPr>
              <w:t>10</w:t>
            </w:r>
          </w:p>
        </w:tc>
        <w:tc>
          <w:tcPr>
            <w:tcW w:w="887" w:type="dxa"/>
            <w:gridSpan w:val="2"/>
            <w:vAlign w:val="center"/>
          </w:tcPr>
          <w:p>
            <w:pPr>
              <w:pStyle w:val="9"/>
              <w:spacing w:before="68"/>
              <w:ind w:left="117"/>
              <w:jc w:val="center"/>
              <w:rPr>
                <w:rFonts w:hint="default"/>
                <w:sz w:val="18"/>
                <w:lang w:val="en-US" w:eastAsia="zh-CN"/>
              </w:rPr>
            </w:pPr>
            <w:r>
              <w:rPr>
                <w:rFonts w:hint="eastAsia"/>
                <w:sz w:val="18"/>
                <w:lang w:val="en-US" w:eastAsia="zh-CN"/>
              </w:rPr>
              <w:t>10</w:t>
            </w:r>
          </w:p>
        </w:tc>
        <w:tc>
          <w:tcPr>
            <w:tcW w:w="1063" w:type="dxa"/>
            <w:gridSpan w:val="2"/>
            <w:vAlign w:val="center"/>
          </w:tcPr>
          <w:p>
            <w:pPr>
              <w:pStyle w:val="9"/>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89" w:type="dxa"/>
            <w:vMerge w:val="continue"/>
            <w:tcBorders>
              <w:top w:val="nil"/>
            </w:tcBorders>
          </w:tcPr>
          <w:p>
            <w:pPr>
              <w:rPr>
                <w:sz w:val="2"/>
                <w:szCs w:val="2"/>
              </w:rPr>
            </w:pPr>
          </w:p>
        </w:tc>
        <w:tc>
          <w:tcPr>
            <w:tcW w:w="982" w:type="dxa"/>
            <w:vMerge w:val="continue"/>
            <w:tcBorders>
              <w:top w:val="nil"/>
            </w:tcBorders>
          </w:tcPr>
          <w:p>
            <w:pPr>
              <w:jc w:val="center"/>
              <w:rPr>
                <w:rFonts w:ascii="宋体" w:hAnsi="宋体" w:eastAsia="宋体" w:cs="宋体"/>
                <w:kern w:val="2"/>
                <w:sz w:val="18"/>
                <w:szCs w:val="22"/>
                <w:lang w:val="zh-CN" w:eastAsia="zh-CN" w:bidi="zh-CN"/>
              </w:rPr>
            </w:pPr>
          </w:p>
        </w:tc>
        <w:tc>
          <w:tcPr>
            <w:tcW w:w="1215" w:type="dxa"/>
            <w:vAlign w:val="center"/>
          </w:tcPr>
          <w:p>
            <w:pPr>
              <w:pStyle w:val="9"/>
              <w:spacing w:before="68"/>
              <w:ind w:left="117"/>
              <w:jc w:val="center"/>
              <w:rPr>
                <w:rFonts w:hint="eastAsia"/>
                <w:sz w:val="18"/>
                <w:lang w:val="zh-CN" w:eastAsia="zh-CN"/>
              </w:rPr>
            </w:pPr>
            <w:r>
              <w:rPr>
                <w:rFonts w:hint="eastAsia"/>
                <w:sz w:val="18"/>
                <w:lang w:val="zh-CN" w:eastAsia="zh-CN"/>
              </w:rPr>
              <w:t>成本指标</w:t>
            </w:r>
          </w:p>
        </w:tc>
        <w:tc>
          <w:tcPr>
            <w:tcW w:w="1322" w:type="dxa"/>
            <w:gridSpan w:val="2"/>
            <w:vAlign w:val="center"/>
          </w:tcPr>
          <w:p>
            <w:pPr>
              <w:pStyle w:val="9"/>
              <w:spacing w:before="68"/>
              <w:ind w:left="117"/>
              <w:jc w:val="center"/>
              <w:rPr>
                <w:rFonts w:hint="eastAsia"/>
                <w:sz w:val="18"/>
                <w:lang w:val="zh-CN" w:eastAsia="zh-CN"/>
              </w:rPr>
            </w:pPr>
            <w:r>
              <w:rPr>
                <w:rFonts w:hint="eastAsia"/>
                <w:sz w:val="18"/>
                <w:lang w:val="zh-CN" w:eastAsia="zh-CN"/>
              </w:rPr>
              <w:t>粮食检验经费</w:t>
            </w:r>
          </w:p>
        </w:tc>
        <w:tc>
          <w:tcPr>
            <w:tcW w:w="1732" w:type="dxa"/>
            <w:gridSpan w:val="2"/>
            <w:vAlign w:val="center"/>
          </w:tcPr>
          <w:p>
            <w:pPr>
              <w:pStyle w:val="9"/>
              <w:spacing w:before="68"/>
              <w:ind w:left="117"/>
              <w:jc w:val="center"/>
              <w:rPr>
                <w:rFonts w:hint="eastAsia"/>
                <w:sz w:val="18"/>
                <w:lang w:val="zh-CN" w:eastAsia="zh-CN"/>
              </w:rPr>
            </w:pPr>
            <w:r>
              <w:rPr>
                <w:rFonts w:hint="eastAsia"/>
                <w:sz w:val="18"/>
                <w:lang w:val="zh-CN" w:eastAsia="zh-CN"/>
              </w:rPr>
              <w:t>≤</w:t>
            </w:r>
            <w:r>
              <w:rPr>
                <w:rFonts w:hint="eastAsia"/>
                <w:sz w:val="18"/>
                <w:lang w:val="en-US" w:eastAsia="zh-CN"/>
              </w:rPr>
              <w:t>20</w:t>
            </w:r>
            <w:r>
              <w:rPr>
                <w:rFonts w:hint="eastAsia"/>
                <w:sz w:val="18"/>
                <w:lang w:val="zh-CN" w:eastAsia="zh-CN"/>
              </w:rPr>
              <w:t>万元</w:t>
            </w:r>
          </w:p>
        </w:tc>
        <w:tc>
          <w:tcPr>
            <w:tcW w:w="764" w:type="dxa"/>
            <w:vAlign w:val="center"/>
          </w:tcPr>
          <w:p>
            <w:pPr>
              <w:pStyle w:val="9"/>
              <w:spacing w:before="68"/>
              <w:ind w:left="117"/>
              <w:jc w:val="center"/>
              <w:rPr>
                <w:rFonts w:hint="default"/>
                <w:sz w:val="18"/>
                <w:lang w:val="en-US" w:eastAsia="zh-CN"/>
              </w:rPr>
            </w:pPr>
            <w:r>
              <w:rPr>
                <w:rFonts w:hint="eastAsia"/>
                <w:sz w:val="18"/>
                <w:lang w:val="en-US" w:eastAsia="zh-CN"/>
              </w:rPr>
              <w:t>20</w:t>
            </w:r>
          </w:p>
        </w:tc>
        <w:tc>
          <w:tcPr>
            <w:tcW w:w="681" w:type="dxa"/>
            <w:gridSpan w:val="2"/>
            <w:vAlign w:val="center"/>
          </w:tcPr>
          <w:p>
            <w:pPr>
              <w:pStyle w:val="9"/>
              <w:spacing w:before="68"/>
              <w:ind w:left="117"/>
              <w:jc w:val="center"/>
              <w:rPr>
                <w:rFonts w:hint="default"/>
                <w:sz w:val="18"/>
                <w:lang w:val="en-US" w:eastAsia="zh-CN"/>
              </w:rPr>
            </w:pPr>
            <w:r>
              <w:rPr>
                <w:rFonts w:hint="eastAsia"/>
                <w:sz w:val="18"/>
                <w:lang w:val="en-US" w:eastAsia="zh-CN"/>
              </w:rPr>
              <w:t>10</w:t>
            </w:r>
          </w:p>
        </w:tc>
        <w:tc>
          <w:tcPr>
            <w:tcW w:w="887" w:type="dxa"/>
            <w:gridSpan w:val="2"/>
            <w:vAlign w:val="center"/>
          </w:tcPr>
          <w:p>
            <w:pPr>
              <w:pStyle w:val="9"/>
              <w:spacing w:before="68"/>
              <w:ind w:left="117"/>
              <w:jc w:val="center"/>
              <w:rPr>
                <w:rFonts w:hint="default"/>
                <w:sz w:val="18"/>
                <w:lang w:val="en-US" w:eastAsia="zh-CN"/>
              </w:rPr>
            </w:pPr>
            <w:r>
              <w:rPr>
                <w:rFonts w:hint="eastAsia"/>
                <w:sz w:val="18"/>
                <w:lang w:val="en-US" w:eastAsia="zh-CN"/>
              </w:rPr>
              <w:t>10</w:t>
            </w:r>
          </w:p>
        </w:tc>
        <w:tc>
          <w:tcPr>
            <w:tcW w:w="1063" w:type="dxa"/>
            <w:gridSpan w:val="2"/>
            <w:vAlign w:val="center"/>
          </w:tcPr>
          <w:p>
            <w:pPr>
              <w:pStyle w:val="9"/>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589" w:type="dxa"/>
            <w:vMerge w:val="continue"/>
            <w:tcBorders>
              <w:top w:val="nil"/>
            </w:tcBorders>
          </w:tcPr>
          <w:p>
            <w:pPr>
              <w:rPr>
                <w:sz w:val="2"/>
                <w:szCs w:val="2"/>
              </w:rPr>
            </w:pPr>
          </w:p>
        </w:tc>
        <w:tc>
          <w:tcPr>
            <w:tcW w:w="982" w:type="dxa"/>
            <w:vMerge w:val="restart"/>
          </w:tcPr>
          <w:p>
            <w:pPr>
              <w:pStyle w:val="9"/>
              <w:spacing w:before="68"/>
              <w:ind w:left="117"/>
              <w:jc w:val="center"/>
              <w:rPr>
                <w:rFonts w:ascii="宋体" w:hAnsi="宋体" w:eastAsia="宋体" w:cs="宋体"/>
                <w:kern w:val="2"/>
                <w:sz w:val="18"/>
                <w:szCs w:val="22"/>
                <w:lang w:val="zh-CN" w:eastAsia="zh-CN" w:bidi="zh-CN"/>
              </w:rPr>
            </w:pPr>
          </w:p>
          <w:p>
            <w:pPr>
              <w:pStyle w:val="9"/>
              <w:spacing w:before="68"/>
              <w:ind w:left="117"/>
              <w:jc w:val="center"/>
              <w:rPr>
                <w:rFonts w:ascii="宋体" w:hAnsi="宋体" w:eastAsia="宋体" w:cs="宋体"/>
                <w:kern w:val="2"/>
                <w:sz w:val="18"/>
                <w:szCs w:val="22"/>
                <w:lang w:val="zh-CN" w:eastAsia="zh-CN" w:bidi="zh-CN"/>
              </w:rPr>
            </w:pPr>
          </w:p>
          <w:p>
            <w:pPr>
              <w:pStyle w:val="9"/>
              <w:spacing w:before="68"/>
              <w:ind w:left="117"/>
              <w:jc w:val="center"/>
              <w:rPr>
                <w:rFonts w:ascii="宋体" w:hAnsi="宋体" w:eastAsia="宋体" w:cs="宋体"/>
                <w:kern w:val="2"/>
                <w:sz w:val="18"/>
                <w:szCs w:val="22"/>
                <w:lang w:val="zh-CN" w:eastAsia="zh-CN" w:bidi="zh-CN"/>
              </w:rPr>
            </w:pPr>
          </w:p>
          <w:p>
            <w:pPr>
              <w:pStyle w:val="9"/>
              <w:spacing w:before="68"/>
              <w:ind w:left="117"/>
              <w:jc w:val="center"/>
              <w:rPr>
                <w:rFonts w:ascii="宋体" w:hAnsi="宋体" w:eastAsia="宋体" w:cs="宋体"/>
                <w:kern w:val="2"/>
                <w:sz w:val="18"/>
                <w:szCs w:val="22"/>
                <w:lang w:val="zh-CN" w:eastAsia="zh-CN" w:bidi="zh-CN"/>
              </w:rPr>
            </w:pPr>
          </w:p>
          <w:p>
            <w:pPr>
              <w:pStyle w:val="9"/>
              <w:spacing w:before="68"/>
              <w:ind w:left="117"/>
              <w:jc w:val="center"/>
              <w:rPr>
                <w:rFonts w:ascii="宋体" w:hAnsi="宋体" w:eastAsia="宋体" w:cs="宋体"/>
                <w:kern w:val="2"/>
                <w:sz w:val="18"/>
                <w:szCs w:val="22"/>
                <w:lang w:val="zh-CN" w:eastAsia="zh-CN" w:bidi="zh-CN"/>
              </w:rPr>
            </w:pPr>
            <w:r>
              <w:rPr>
                <w:rFonts w:ascii="宋体" w:hAnsi="宋体" w:eastAsia="宋体" w:cs="宋体"/>
                <w:kern w:val="2"/>
                <w:sz w:val="18"/>
                <w:szCs w:val="22"/>
                <w:lang w:val="zh-CN" w:eastAsia="zh-CN" w:bidi="zh-CN"/>
              </w:rPr>
              <w:t>效益指标30 分</w:t>
            </w:r>
          </w:p>
        </w:tc>
        <w:tc>
          <w:tcPr>
            <w:tcW w:w="1215" w:type="dxa"/>
            <w:vAlign w:val="center"/>
          </w:tcPr>
          <w:p>
            <w:pPr>
              <w:pStyle w:val="9"/>
              <w:spacing w:before="68"/>
              <w:ind w:left="117"/>
              <w:jc w:val="center"/>
              <w:rPr>
                <w:rFonts w:hint="eastAsia"/>
                <w:sz w:val="18"/>
                <w:lang w:val="zh-CN" w:eastAsia="zh-CN"/>
              </w:rPr>
            </w:pPr>
            <w:r>
              <w:rPr>
                <w:rFonts w:hint="eastAsia"/>
                <w:sz w:val="18"/>
                <w:lang w:val="zh-CN" w:eastAsia="zh-CN"/>
              </w:rPr>
              <w:t>经济效益指标</w:t>
            </w:r>
          </w:p>
        </w:tc>
        <w:tc>
          <w:tcPr>
            <w:tcW w:w="1322" w:type="dxa"/>
            <w:gridSpan w:val="2"/>
            <w:vAlign w:val="center"/>
          </w:tcPr>
          <w:p>
            <w:pPr>
              <w:pStyle w:val="9"/>
              <w:spacing w:before="68"/>
              <w:ind w:left="117"/>
              <w:jc w:val="center"/>
              <w:rPr>
                <w:rFonts w:hint="eastAsia"/>
                <w:sz w:val="18"/>
                <w:lang w:val="zh-CN" w:eastAsia="zh-CN"/>
              </w:rPr>
            </w:pPr>
            <w:r>
              <w:rPr>
                <w:rFonts w:hint="eastAsia"/>
                <w:sz w:val="18"/>
                <w:lang w:val="zh-CN" w:eastAsia="zh-CN"/>
              </w:rPr>
              <w:t>不涉及</w:t>
            </w:r>
          </w:p>
        </w:tc>
        <w:tc>
          <w:tcPr>
            <w:tcW w:w="1732" w:type="dxa"/>
            <w:gridSpan w:val="2"/>
            <w:vAlign w:val="center"/>
          </w:tcPr>
          <w:p>
            <w:pPr>
              <w:pStyle w:val="9"/>
              <w:spacing w:before="68"/>
              <w:ind w:left="117"/>
              <w:jc w:val="center"/>
              <w:rPr>
                <w:rFonts w:hint="eastAsia"/>
                <w:sz w:val="18"/>
                <w:lang w:val="zh-CN" w:eastAsia="zh-CN"/>
              </w:rPr>
            </w:pPr>
            <w:r>
              <w:rPr>
                <w:rFonts w:hint="eastAsia"/>
                <w:sz w:val="18"/>
                <w:lang w:val="zh-CN" w:eastAsia="zh-CN"/>
              </w:rPr>
              <w:t>不涉及</w:t>
            </w:r>
          </w:p>
        </w:tc>
        <w:tc>
          <w:tcPr>
            <w:tcW w:w="764" w:type="dxa"/>
            <w:vAlign w:val="center"/>
          </w:tcPr>
          <w:p>
            <w:pPr>
              <w:pStyle w:val="9"/>
              <w:spacing w:before="68"/>
              <w:ind w:left="117"/>
              <w:jc w:val="center"/>
              <w:rPr>
                <w:rFonts w:hint="eastAsia"/>
                <w:sz w:val="18"/>
                <w:lang w:val="en-US" w:eastAsia="zh-CN"/>
              </w:rPr>
            </w:pPr>
            <w:r>
              <w:rPr>
                <w:rFonts w:hint="eastAsia"/>
                <w:sz w:val="18"/>
                <w:lang w:val="en-US" w:eastAsia="zh-CN"/>
              </w:rPr>
              <w:t>0</w:t>
            </w:r>
          </w:p>
        </w:tc>
        <w:tc>
          <w:tcPr>
            <w:tcW w:w="681" w:type="dxa"/>
            <w:gridSpan w:val="2"/>
            <w:vAlign w:val="center"/>
          </w:tcPr>
          <w:p>
            <w:pPr>
              <w:pStyle w:val="9"/>
              <w:spacing w:before="68"/>
              <w:ind w:left="117"/>
              <w:jc w:val="center"/>
              <w:rPr>
                <w:rFonts w:hint="eastAsia"/>
                <w:sz w:val="18"/>
                <w:lang w:val="en-US" w:eastAsia="zh-CN"/>
              </w:rPr>
            </w:pPr>
            <w:r>
              <w:rPr>
                <w:rFonts w:hint="eastAsia"/>
                <w:sz w:val="18"/>
                <w:lang w:val="en-US" w:eastAsia="zh-CN"/>
              </w:rPr>
              <w:t>0</w:t>
            </w:r>
          </w:p>
        </w:tc>
        <w:tc>
          <w:tcPr>
            <w:tcW w:w="887" w:type="dxa"/>
            <w:gridSpan w:val="2"/>
            <w:vAlign w:val="center"/>
          </w:tcPr>
          <w:p>
            <w:pPr>
              <w:pStyle w:val="9"/>
              <w:spacing w:before="68"/>
              <w:ind w:left="117"/>
              <w:jc w:val="center"/>
              <w:rPr>
                <w:rFonts w:hint="eastAsia"/>
                <w:sz w:val="18"/>
                <w:lang w:val="en-US" w:eastAsia="zh-CN"/>
              </w:rPr>
            </w:pPr>
            <w:r>
              <w:rPr>
                <w:rFonts w:hint="eastAsia"/>
                <w:sz w:val="18"/>
                <w:lang w:val="en-US" w:eastAsia="zh-CN"/>
              </w:rPr>
              <w:t>0</w:t>
            </w:r>
          </w:p>
        </w:tc>
        <w:tc>
          <w:tcPr>
            <w:tcW w:w="1063" w:type="dxa"/>
            <w:gridSpan w:val="2"/>
            <w:vAlign w:val="center"/>
          </w:tcPr>
          <w:p>
            <w:pPr>
              <w:pStyle w:val="9"/>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589" w:type="dxa"/>
            <w:vMerge w:val="continue"/>
            <w:tcBorders>
              <w:top w:val="nil"/>
            </w:tcBorders>
          </w:tcPr>
          <w:p>
            <w:pPr>
              <w:rPr>
                <w:sz w:val="2"/>
                <w:szCs w:val="2"/>
              </w:rPr>
            </w:pPr>
          </w:p>
        </w:tc>
        <w:tc>
          <w:tcPr>
            <w:tcW w:w="982" w:type="dxa"/>
            <w:vMerge w:val="continue"/>
            <w:tcBorders>
              <w:top w:val="nil"/>
            </w:tcBorders>
          </w:tcPr>
          <w:p>
            <w:pPr>
              <w:jc w:val="center"/>
              <w:rPr>
                <w:rFonts w:ascii="宋体" w:hAnsi="宋体" w:eastAsia="宋体" w:cs="宋体"/>
                <w:kern w:val="2"/>
                <w:sz w:val="18"/>
                <w:szCs w:val="22"/>
                <w:lang w:val="zh-CN" w:eastAsia="zh-CN" w:bidi="zh-CN"/>
              </w:rPr>
            </w:pPr>
          </w:p>
        </w:tc>
        <w:tc>
          <w:tcPr>
            <w:tcW w:w="1215" w:type="dxa"/>
            <w:vAlign w:val="center"/>
          </w:tcPr>
          <w:p>
            <w:pPr>
              <w:pStyle w:val="9"/>
              <w:spacing w:before="68"/>
              <w:ind w:left="117"/>
              <w:jc w:val="center"/>
              <w:rPr>
                <w:rFonts w:hint="eastAsia"/>
                <w:sz w:val="18"/>
                <w:lang w:val="zh-CN" w:eastAsia="zh-CN"/>
              </w:rPr>
            </w:pPr>
            <w:r>
              <w:rPr>
                <w:rFonts w:hint="eastAsia"/>
                <w:sz w:val="18"/>
                <w:lang w:val="zh-CN" w:eastAsia="zh-CN"/>
              </w:rPr>
              <w:t>社会效益指标</w:t>
            </w:r>
          </w:p>
        </w:tc>
        <w:tc>
          <w:tcPr>
            <w:tcW w:w="1322" w:type="dxa"/>
            <w:gridSpan w:val="2"/>
            <w:vAlign w:val="center"/>
          </w:tcPr>
          <w:p>
            <w:pPr>
              <w:pStyle w:val="9"/>
              <w:spacing w:before="68"/>
              <w:ind w:left="117"/>
              <w:jc w:val="center"/>
              <w:rPr>
                <w:rFonts w:hint="eastAsia"/>
                <w:sz w:val="18"/>
                <w:lang w:val="zh-CN" w:eastAsia="zh-CN"/>
              </w:rPr>
            </w:pPr>
            <w:r>
              <w:rPr>
                <w:rFonts w:hint="eastAsia"/>
                <w:sz w:val="18"/>
                <w:lang w:val="zh-CN" w:eastAsia="zh-CN"/>
              </w:rPr>
              <w:t>确保辖区内粮食的质量安全</w:t>
            </w:r>
          </w:p>
        </w:tc>
        <w:tc>
          <w:tcPr>
            <w:tcW w:w="1732" w:type="dxa"/>
            <w:gridSpan w:val="2"/>
            <w:vAlign w:val="center"/>
          </w:tcPr>
          <w:p>
            <w:pPr>
              <w:pStyle w:val="9"/>
              <w:spacing w:before="68"/>
              <w:ind w:left="117"/>
              <w:jc w:val="center"/>
              <w:rPr>
                <w:rFonts w:hint="eastAsia"/>
                <w:sz w:val="18"/>
                <w:lang w:val="zh-CN" w:eastAsia="zh-CN"/>
              </w:rPr>
            </w:pPr>
            <w:r>
              <w:rPr>
                <w:rFonts w:hint="eastAsia"/>
                <w:sz w:val="18"/>
                <w:lang w:val="zh-CN" w:eastAsia="zh-CN"/>
              </w:rPr>
              <w:t>通过质量检验推进质量管理，引导企业健全粮储安全机制</w:t>
            </w:r>
          </w:p>
        </w:tc>
        <w:tc>
          <w:tcPr>
            <w:tcW w:w="764" w:type="dxa"/>
            <w:vAlign w:val="center"/>
          </w:tcPr>
          <w:p>
            <w:pPr>
              <w:pStyle w:val="9"/>
              <w:spacing w:before="68"/>
              <w:ind w:left="117"/>
              <w:jc w:val="center"/>
              <w:rPr>
                <w:rFonts w:hint="eastAsia"/>
                <w:sz w:val="18"/>
                <w:lang w:val="en-US" w:eastAsia="zh-CN"/>
              </w:rPr>
            </w:pPr>
            <w:r>
              <w:rPr>
                <w:rFonts w:hint="eastAsia"/>
                <w:sz w:val="18"/>
                <w:lang w:val="en-US" w:eastAsia="zh-CN"/>
              </w:rPr>
              <w:t>10家</w:t>
            </w:r>
          </w:p>
        </w:tc>
        <w:tc>
          <w:tcPr>
            <w:tcW w:w="681" w:type="dxa"/>
            <w:gridSpan w:val="2"/>
            <w:vAlign w:val="center"/>
          </w:tcPr>
          <w:p>
            <w:pPr>
              <w:pStyle w:val="9"/>
              <w:spacing w:before="68"/>
              <w:ind w:left="117"/>
              <w:jc w:val="center"/>
              <w:rPr>
                <w:rFonts w:hint="default"/>
                <w:sz w:val="18"/>
                <w:lang w:val="en-US" w:eastAsia="zh-CN"/>
              </w:rPr>
            </w:pPr>
            <w:r>
              <w:rPr>
                <w:rFonts w:hint="eastAsia"/>
                <w:sz w:val="18"/>
                <w:lang w:val="en-US" w:eastAsia="zh-CN"/>
              </w:rPr>
              <w:t>15</w:t>
            </w:r>
          </w:p>
        </w:tc>
        <w:tc>
          <w:tcPr>
            <w:tcW w:w="887" w:type="dxa"/>
            <w:gridSpan w:val="2"/>
            <w:vAlign w:val="center"/>
          </w:tcPr>
          <w:p>
            <w:pPr>
              <w:pStyle w:val="9"/>
              <w:spacing w:before="68"/>
              <w:ind w:left="117"/>
              <w:jc w:val="center"/>
              <w:rPr>
                <w:rFonts w:hint="default"/>
                <w:sz w:val="18"/>
                <w:lang w:val="en-US" w:eastAsia="zh-CN"/>
              </w:rPr>
            </w:pPr>
            <w:r>
              <w:rPr>
                <w:rFonts w:hint="eastAsia"/>
                <w:sz w:val="18"/>
                <w:lang w:val="en-US" w:eastAsia="zh-CN"/>
              </w:rPr>
              <w:t>15</w:t>
            </w:r>
          </w:p>
        </w:tc>
        <w:tc>
          <w:tcPr>
            <w:tcW w:w="1063" w:type="dxa"/>
            <w:gridSpan w:val="2"/>
            <w:vAlign w:val="center"/>
          </w:tcPr>
          <w:p>
            <w:pPr>
              <w:pStyle w:val="9"/>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589" w:type="dxa"/>
            <w:vMerge w:val="continue"/>
            <w:tcBorders>
              <w:top w:val="nil"/>
            </w:tcBorders>
          </w:tcPr>
          <w:p>
            <w:pPr>
              <w:rPr>
                <w:sz w:val="2"/>
                <w:szCs w:val="2"/>
              </w:rPr>
            </w:pPr>
          </w:p>
        </w:tc>
        <w:tc>
          <w:tcPr>
            <w:tcW w:w="982" w:type="dxa"/>
            <w:vMerge w:val="continue"/>
            <w:tcBorders>
              <w:top w:val="nil"/>
            </w:tcBorders>
          </w:tcPr>
          <w:p>
            <w:pPr>
              <w:jc w:val="center"/>
              <w:rPr>
                <w:rFonts w:ascii="宋体" w:hAnsi="宋体" w:eastAsia="宋体" w:cs="宋体"/>
                <w:kern w:val="2"/>
                <w:sz w:val="18"/>
                <w:szCs w:val="22"/>
                <w:lang w:val="zh-CN" w:eastAsia="zh-CN" w:bidi="zh-CN"/>
              </w:rPr>
            </w:pPr>
          </w:p>
        </w:tc>
        <w:tc>
          <w:tcPr>
            <w:tcW w:w="1215" w:type="dxa"/>
            <w:vAlign w:val="center"/>
          </w:tcPr>
          <w:p>
            <w:pPr>
              <w:pStyle w:val="9"/>
              <w:spacing w:before="68"/>
              <w:ind w:left="117"/>
              <w:jc w:val="center"/>
              <w:rPr>
                <w:rFonts w:hint="eastAsia"/>
                <w:sz w:val="18"/>
                <w:lang w:val="zh-CN" w:eastAsia="zh-CN"/>
              </w:rPr>
            </w:pPr>
            <w:r>
              <w:rPr>
                <w:rFonts w:hint="eastAsia"/>
                <w:sz w:val="18"/>
                <w:lang w:val="zh-CN" w:eastAsia="zh-CN"/>
              </w:rPr>
              <w:t>生态效益指标</w:t>
            </w:r>
          </w:p>
        </w:tc>
        <w:tc>
          <w:tcPr>
            <w:tcW w:w="1322" w:type="dxa"/>
            <w:gridSpan w:val="2"/>
            <w:vAlign w:val="center"/>
          </w:tcPr>
          <w:p>
            <w:pPr>
              <w:pStyle w:val="9"/>
              <w:spacing w:before="68"/>
              <w:ind w:left="117"/>
              <w:jc w:val="center"/>
              <w:rPr>
                <w:rFonts w:hint="eastAsia"/>
                <w:sz w:val="18"/>
                <w:lang w:val="zh-CN" w:eastAsia="zh-CN"/>
              </w:rPr>
            </w:pPr>
            <w:r>
              <w:rPr>
                <w:rFonts w:hint="eastAsia"/>
                <w:sz w:val="18"/>
                <w:lang w:val="zh-CN" w:eastAsia="zh-CN"/>
              </w:rPr>
              <w:t>满足生态环保要求</w:t>
            </w:r>
          </w:p>
        </w:tc>
        <w:tc>
          <w:tcPr>
            <w:tcW w:w="1732" w:type="dxa"/>
            <w:gridSpan w:val="2"/>
            <w:vAlign w:val="center"/>
          </w:tcPr>
          <w:p>
            <w:pPr>
              <w:pStyle w:val="9"/>
              <w:spacing w:before="68"/>
              <w:ind w:left="117"/>
              <w:jc w:val="center"/>
              <w:rPr>
                <w:rFonts w:hint="eastAsia"/>
                <w:sz w:val="18"/>
                <w:lang w:val="zh-CN" w:eastAsia="zh-CN"/>
              </w:rPr>
            </w:pPr>
            <w:r>
              <w:rPr>
                <w:rFonts w:hint="eastAsia"/>
                <w:sz w:val="18"/>
                <w:lang w:val="zh-CN" w:eastAsia="zh-CN"/>
              </w:rPr>
              <w:t>废弃物进行有效处理</w:t>
            </w:r>
          </w:p>
        </w:tc>
        <w:tc>
          <w:tcPr>
            <w:tcW w:w="764" w:type="dxa"/>
            <w:vAlign w:val="center"/>
          </w:tcPr>
          <w:p>
            <w:pPr>
              <w:pStyle w:val="9"/>
              <w:spacing w:before="68"/>
              <w:ind w:left="117"/>
              <w:jc w:val="center"/>
              <w:rPr>
                <w:rFonts w:hint="default"/>
                <w:sz w:val="18"/>
                <w:lang w:val="en-US" w:eastAsia="zh-CN"/>
              </w:rPr>
            </w:pPr>
            <w:r>
              <w:rPr>
                <w:rFonts w:hint="eastAsia"/>
                <w:sz w:val="18"/>
                <w:lang w:val="en-US" w:eastAsia="zh-CN"/>
              </w:rPr>
              <w:t>100</w:t>
            </w:r>
          </w:p>
        </w:tc>
        <w:tc>
          <w:tcPr>
            <w:tcW w:w="681" w:type="dxa"/>
            <w:gridSpan w:val="2"/>
            <w:vAlign w:val="center"/>
          </w:tcPr>
          <w:p>
            <w:pPr>
              <w:pStyle w:val="9"/>
              <w:spacing w:before="68"/>
              <w:ind w:left="117"/>
              <w:jc w:val="center"/>
              <w:rPr>
                <w:rFonts w:hint="default"/>
                <w:sz w:val="18"/>
                <w:lang w:val="en-US" w:eastAsia="zh-CN"/>
              </w:rPr>
            </w:pPr>
            <w:r>
              <w:rPr>
                <w:rFonts w:hint="eastAsia"/>
                <w:sz w:val="18"/>
                <w:lang w:val="en-US" w:eastAsia="zh-CN"/>
              </w:rPr>
              <w:t>15</w:t>
            </w:r>
          </w:p>
        </w:tc>
        <w:tc>
          <w:tcPr>
            <w:tcW w:w="887" w:type="dxa"/>
            <w:gridSpan w:val="2"/>
            <w:vAlign w:val="center"/>
          </w:tcPr>
          <w:p>
            <w:pPr>
              <w:pStyle w:val="9"/>
              <w:spacing w:before="68"/>
              <w:ind w:left="117"/>
              <w:jc w:val="center"/>
              <w:rPr>
                <w:rFonts w:hint="default"/>
                <w:sz w:val="18"/>
                <w:lang w:val="en-US" w:eastAsia="zh-CN"/>
              </w:rPr>
            </w:pPr>
            <w:r>
              <w:rPr>
                <w:rFonts w:hint="eastAsia"/>
                <w:sz w:val="18"/>
                <w:lang w:val="en-US" w:eastAsia="zh-CN"/>
              </w:rPr>
              <w:t>15</w:t>
            </w:r>
          </w:p>
        </w:tc>
        <w:tc>
          <w:tcPr>
            <w:tcW w:w="1063" w:type="dxa"/>
            <w:gridSpan w:val="2"/>
            <w:vAlign w:val="center"/>
          </w:tcPr>
          <w:p>
            <w:pPr>
              <w:pStyle w:val="9"/>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589" w:type="dxa"/>
            <w:vMerge w:val="continue"/>
            <w:tcBorders>
              <w:top w:val="nil"/>
            </w:tcBorders>
          </w:tcPr>
          <w:p>
            <w:pPr>
              <w:rPr>
                <w:sz w:val="2"/>
                <w:szCs w:val="2"/>
              </w:rPr>
            </w:pPr>
          </w:p>
        </w:tc>
        <w:tc>
          <w:tcPr>
            <w:tcW w:w="982" w:type="dxa"/>
            <w:vMerge w:val="continue"/>
            <w:tcBorders>
              <w:top w:val="nil"/>
            </w:tcBorders>
          </w:tcPr>
          <w:p>
            <w:pPr>
              <w:jc w:val="center"/>
              <w:rPr>
                <w:rFonts w:ascii="宋体" w:hAnsi="宋体" w:eastAsia="宋体" w:cs="宋体"/>
                <w:kern w:val="2"/>
                <w:sz w:val="18"/>
                <w:szCs w:val="22"/>
                <w:lang w:val="zh-CN" w:eastAsia="zh-CN" w:bidi="zh-CN"/>
              </w:rPr>
            </w:pPr>
          </w:p>
        </w:tc>
        <w:tc>
          <w:tcPr>
            <w:tcW w:w="1215" w:type="dxa"/>
            <w:vAlign w:val="center"/>
          </w:tcPr>
          <w:p>
            <w:pPr>
              <w:pStyle w:val="9"/>
              <w:spacing w:before="68"/>
              <w:ind w:left="117"/>
              <w:jc w:val="center"/>
              <w:rPr>
                <w:rFonts w:hint="eastAsia"/>
                <w:sz w:val="18"/>
                <w:lang w:val="zh-CN" w:eastAsia="zh-CN"/>
              </w:rPr>
            </w:pPr>
            <w:r>
              <w:rPr>
                <w:rFonts w:hint="eastAsia"/>
                <w:sz w:val="18"/>
                <w:lang w:val="zh-CN" w:eastAsia="zh-CN"/>
              </w:rPr>
              <w:t>可持续影响指标</w:t>
            </w:r>
          </w:p>
        </w:tc>
        <w:tc>
          <w:tcPr>
            <w:tcW w:w="1322" w:type="dxa"/>
            <w:gridSpan w:val="2"/>
            <w:vAlign w:val="center"/>
          </w:tcPr>
          <w:p>
            <w:pPr>
              <w:pStyle w:val="9"/>
              <w:spacing w:before="68"/>
              <w:ind w:left="117"/>
              <w:jc w:val="center"/>
              <w:rPr>
                <w:rFonts w:hint="eastAsia"/>
                <w:sz w:val="18"/>
                <w:lang w:val="zh-CN" w:eastAsia="zh-CN"/>
              </w:rPr>
            </w:pPr>
            <w:r>
              <w:rPr>
                <w:rFonts w:hint="eastAsia"/>
                <w:sz w:val="18"/>
                <w:lang w:val="zh-CN" w:eastAsia="zh-CN"/>
              </w:rPr>
              <w:t>不涉及</w:t>
            </w:r>
          </w:p>
        </w:tc>
        <w:tc>
          <w:tcPr>
            <w:tcW w:w="1732" w:type="dxa"/>
            <w:gridSpan w:val="2"/>
            <w:vAlign w:val="center"/>
          </w:tcPr>
          <w:p>
            <w:pPr>
              <w:pStyle w:val="9"/>
              <w:spacing w:before="68"/>
              <w:ind w:left="117"/>
              <w:jc w:val="center"/>
              <w:rPr>
                <w:rFonts w:hint="eastAsia"/>
                <w:sz w:val="18"/>
                <w:lang w:val="zh-CN" w:eastAsia="zh-CN"/>
              </w:rPr>
            </w:pPr>
            <w:r>
              <w:rPr>
                <w:rFonts w:hint="eastAsia"/>
                <w:sz w:val="18"/>
                <w:lang w:val="zh-CN" w:eastAsia="zh-CN"/>
              </w:rPr>
              <w:t>不涉及</w:t>
            </w:r>
          </w:p>
        </w:tc>
        <w:tc>
          <w:tcPr>
            <w:tcW w:w="764" w:type="dxa"/>
            <w:vAlign w:val="center"/>
          </w:tcPr>
          <w:p>
            <w:pPr>
              <w:pStyle w:val="9"/>
              <w:spacing w:before="68"/>
              <w:ind w:left="117"/>
              <w:jc w:val="center"/>
              <w:rPr>
                <w:rFonts w:hint="eastAsia"/>
                <w:sz w:val="18"/>
                <w:lang w:val="en-US" w:eastAsia="zh-CN"/>
              </w:rPr>
            </w:pPr>
            <w:r>
              <w:rPr>
                <w:rFonts w:hint="eastAsia"/>
                <w:sz w:val="18"/>
                <w:lang w:val="en-US" w:eastAsia="zh-CN"/>
              </w:rPr>
              <w:t>0</w:t>
            </w:r>
          </w:p>
        </w:tc>
        <w:tc>
          <w:tcPr>
            <w:tcW w:w="681" w:type="dxa"/>
            <w:gridSpan w:val="2"/>
            <w:vAlign w:val="center"/>
          </w:tcPr>
          <w:p>
            <w:pPr>
              <w:pStyle w:val="9"/>
              <w:spacing w:before="68"/>
              <w:ind w:left="117"/>
              <w:jc w:val="center"/>
              <w:rPr>
                <w:rFonts w:hint="eastAsia"/>
                <w:sz w:val="18"/>
                <w:lang w:val="en-US" w:eastAsia="zh-CN"/>
              </w:rPr>
            </w:pPr>
            <w:r>
              <w:rPr>
                <w:rFonts w:hint="eastAsia"/>
                <w:sz w:val="18"/>
                <w:lang w:val="en-US" w:eastAsia="zh-CN"/>
              </w:rPr>
              <w:t>0</w:t>
            </w:r>
          </w:p>
        </w:tc>
        <w:tc>
          <w:tcPr>
            <w:tcW w:w="887" w:type="dxa"/>
            <w:gridSpan w:val="2"/>
            <w:vAlign w:val="center"/>
          </w:tcPr>
          <w:p>
            <w:pPr>
              <w:pStyle w:val="9"/>
              <w:spacing w:before="68"/>
              <w:ind w:left="117"/>
              <w:jc w:val="center"/>
              <w:rPr>
                <w:rFonts w:hint="eastAsia"/>
                <w:sz w:val="18"/>
                <w:lang w:val="en-US" w:eastAsia="zh-CN"/>
              </w:rPr>
            </w:pPr>
            <w:r>
              <w:rPr>
                <w:rFonts w:hint="eastAsia"/>
                <w:sz w:val="18"/>
                <w:lang w:val="en-US" w:eastAsia="zh-CN"/>
              </w:rPr>
              <w:t>0</w:t>
            </w:r>
          </w:p>
        </w:tc>
        <w:tc>
          <w:tcPr>
            <w:tcW w:w="1063" w:type="dxa"/>
            <w:gridSpan w:val="2"/>
            <w:vAlign w:val="center"/>
          </w:tcPr>
          <w:p>
            <w:pPr>
              <w:pStyle w:val="9"/>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589" w:type="dxa"/>
            <w:vMerge w:val="continue"/>
            <w:tcBorders>
              <w:top w:val="nil"/>
            </w:tcBorders>
          </w:tcPr>
          <w:p>
            <w:pPr>
              <w:rPr>
                <w:sz w:val="2"/>
                <w:szCs w:val="2"/>
              </w:rPr>
            </w:pPr>
          </w:p>
        </w:tc>
        <w:tc>
          <w:tcPr>
            <w:tcW w:w="982" w:type="dxa"/>
            <w:vMerge w:val="restart"/>
          </w:tcPr>
          <w:p>
            <w:pPr>
              <w:pStyle w:val="9"/>
              <w:spacing w:before="68"/>
              <w:ind w:left="117"/>
              <w:jc w:val="center"/>
              <w:rPr>
                <w:rFonts w:ascii="宋体" w:hAnsi="宋体" w:eastAsia="宋体" w:cs="宋体"/>
                <w:kern w:val="2"/>
                <w:sz w:val="18"/>
                <w:szCs w:val="22"/>
                <w:lang w:val="zh-CN" w:eastAsia="zh-CN" w:bidi="zh-CN"/>
              </w:rPr>
            </w:pPr>
          </w:p>
          <w:p>
            <w:pPr>
              <w:pStyle w:val="9"/>
              <w:spacing w:before="68"/>
              <w:ind w:left="117"/>
              <w:jc w:val="center"/>
              <w:rPr>
                <w:rFonts w:ascii="宋体" w:hAnsi="宋体" w:eastAsia="宋体" w:cs="宋体"/>
                <w:kern w:val="2"/>
                <w:sz w:val="18"/>
                <w:szCs w:val="22"/>
                <w:lang w:val="zh-CN" w:eastAsia="zh-CN" w:bidi="zh-CN"/>
              </w:rPr>
            </w:pPr>
          </w:p>
          <w:p>
            <w:pPr>
              <w:pStyle w:val="9"/>
              <w:spacing w:before="68"/>
              <w:ind w:left="117"/>
              <w:jc w:val="center"/>
              <w:rPr>
                <w:rFonts w:ascii="宋体" w:hAnsi="宋体" w:eastAsia="宋体" w:cs="宋体"/>
                <w:kern w:val="2"/>
                <w:sz w:val="18"/>
                <w:szCs w:val="22"/>
                <w:lang w:val="zh-CN" w:eastAsia="zh-CN" w:bidi="zh-CN"/>
              </w:rPr>
            </w:pPr>
            <w:r>
              <w:rPr>
                <w:rFonts w:ascii="宋体" w:hAnsi="宋体" w:eastAsia="宋体" w:cs="宋体"/>
                <w:kern w:val="2"/>
                <w:sz w:val="18"/>
                <w:szCs w:val="22"/>
                <w:lang w:val="zh-CN" w:eastAsia="zh-CN" w:bidi="zh-CN"/>
              </w:rPr>
              <w:t>满意度指标10 分</w:t>
            </w:r>
          </w:p>
        </w:tc>
        <w:tc>
          <w:tcPr>
            <w:tcW w:w="1215" w:type="dxa"/>
            <w:vMerge w:val="restart"/>
            <w:vAlign w:val="center"/>
          </w:tcPr>
          <w:p>
            <w:pPr>
              <w:pStyle w:val="9"/>
              <w:spacing w:before="68"/>
              <w:ind w:left="117"/>
              <w:jc w:val="center"/>
              <w:rPr>
                <w:rFonts w:hint="eastAsia"/>
                <w:sz w:val="18"/>
                <w:lang w:val="zh-CN" w:eastAsia="zh-CN"/>
              </w:rPr>
            </w:pPr>
          </w:p>
          <w:p>
            <w:pPr>
              <w:pStyle w:val="9"/>
              <w:spacing w:before="68"/>
              <w:ind w:left="117"/>
              <w:jc w:val="center"/>
              <w:rPr>
                <w:rFonts w:hint="eastAsia"/>
                <w:sz w:val="18"/>
                <w:lang w:val="zh-CN" w:eastAsia="zh-CN"/>
              </w:rPr>
            </w:pPr>
            <w:r>
              <w:rPr>
                <w:rFonts w:hint="eastAsia"/>
                <w:sz w:val="18"/>
                <w:lang w:val="zh-CN" w:eastAsia="zh-CN"/>
              </w:rPr>
              <w:t>服务对象满意度指标</w:t>
            </w:r>
          </w:p>
        </w:tc>
        <w:tc>
          <w:tcPr>
            <w:tcW w:w="1322" w:type="dxa"/>
            <w:gridSpan w:val="2"/>
            <w:vAlign w:val="center"/>
          </w:tcPr>
          <w:p>
            <w:pPr>
              <w:pStyle w:val="9"/>
              <w:spacing w:before="68"/>
              <w:ind w:left="117"/>
              <w:jc w:val="center"/>
              <w:rPr>
                <w:rFonts w:hint="eastAsia"/>
                <w:sz w:val="18"/>
                <w:lang w:val="zh-CN" w:eastAsia="zh-CN"/>
              </w:rPr>
            </w:pPr>
            <w:r>
              <w:rPr>
                <w:rFonts w:hint="eastAsia"/>
                <w:sz w:val="18"/>
                <w:lang w:val="zh-CN" w:eastAsia="zh-CN"/>
              </w:rPr>
              <w:t>检测结果投诉率</w:t>
            </w:r>
          </w:p>
        </w:tc>
        <w:tc>
          <w:tcPr>
            <w:tcW w:w="1732" w:type="dxa"/>
            <w:gridSpan w:val="2"/>
            <w:vAlign w:val="center"/>
          </w:tcPr>
          <w:p>
            <w:pPr>
              <w:pStyle w:val="9"/>
              <w:spacing w:before="68"/>
              <w:ind w:left="117"/>
              <w:jc w:val="center"/>
              <w:rPr>
                <w:rFonts w:hint="eastAsia"/>
                <w:sz w:val="18"/>
                <w:lang w:val="zh-CN" w:eastAsia="zh-CN"/>
              </w:rPr>
            </w:pPr>
            <w:r>
              <w:rPr>
                <w:rFonts w:hint="eastAsia"/>
                <w:sz w:val="18"/>
                <w:lang w:val="zh-CN" w:eastAsia="zh-CN"/>
              </w:rPr>
              <w:t>≤2</w:t>
            </w:r>
            <w:r>
              <w:rPr>
                <w:rFonts w:hint="eastAsia"/>
                <w:sz w:val="18"/>
                <w:lang w:val="en-US" w:eastAsia="zh-CN"/>
              </w:rPr>
              <w:t>%</w:t>
            </w:r>
          </w:p>
        </w:tc>
        <w:tc>
          <w:tcPr>
            <w:tcW w:w="764" w:type="dxa"/>
            <w:vAlign w:val="center"/>
          </w:tcPr>
          <w:p>
            <w:pPr>
              <w:pStyle w:val="9"/>
              <w:spacing w:before="68"/>
              <w:ind w:left="117"/>
              <w:jc w:val="center"/>
              <w:rPr>
                <w:rFonts w:hint="eastAsia"/>
                <w:sz w:val="18"/>
                <w:lang w:val="zh-CN" w:eastAsia="zh-CN"/>
              </w:rPr>
            </w:pPr>
            <w:r>
              <w:rPr>
                <w:rFonts w:hint="eastAsia"/>
                <w:sz w:val="18"/>
                <w:lang w:val="en-US" w:eastAsia="zh-CN"/>
              </w:rPr>
              <w:t>0</w:t>
            </w:r>
          </w:p>
        </w:tc>
        <w:tc>
          <w:tcPr>
            <w:tcW w:w="681" w:type="dxa"/>
            <w:gridSpan w:val="2"/>
            <w:vAlign w:val="center"/>
          </w:tcPr>
          <w:p>
            <w:pPr>
              <w:pStyle w:val="9"/>
              <w:spacing w:before="68"/>
              <w:ind w:left="117"/>
              <w:jc w:val="center"/>
              <w:rPr>
                <w:sz w:val="18"/>
                <w:lang w:val="zh-CN" w:eastAsia="zh-CN"/>
              </w:rPr>
            </w:pPr>
            <w:r>
              <w:rPr>
                <w:rFonts w:hint="eastAsia"/>
                <w:sz w:val="18"/>
                <w:lang w:val="en-US" w:eastAsia="zh-CN"/>
              </w:rPr>
              <w:t>5</w:t>
            </w:r>
          </w:p>
        </w:tc>
        <w:tc>
          <w:tcPr>
            <w:tcW w:w="887" w:type="dxa"/>
            <w:gridSpan w:val="2"/>
            <w:vAlign w:val="center"/>
          </w:tcPr>
          <w:p>
            <w:pPr>
              <w:pStyle w:val="9"/>
              <w:spacing w:before="68"/>
              <w:ind w:left="117"/>
              <w:jc w:val="center"/>
              <w:rPr>
                <w:sz w:val="18"/>
                <w:lang w:val="zh-CN" w:eastAsia="zh-CN"/>
              </w:rPr>
            </w:pPr>
            <w:r>
              <w:rPr>
                <w:rFonts w:hint="eastAsia"/>
                <w:sz w:val="18"/>
                <w:lang w:val="en-US" w:eastAsia="zh-CN"/>
              </w:rPr>
              <w:t>5</w:t>
            </w:r>
          </w:p>
        </w:tc>
        <w:tc>
          <w:tcPr>
            <w:tcW w:w="1063" w:type="dxa"/>
            <w:gridSpan w:val="2"/>
            <w:vAlign w:val="center"/>
          </w:tcPr>
          <w:p>
            <w:pPr>
              <w:pStyle w:val="9"/>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atLeast"/>
        </w:trPr>
        <w:tc>
          <w:tcPr>
            <w:tcW w:w="589" w:type="dxa"/>
            <w:vMerge w:val="continue"/>
            <w:tcBorders>
              <w:top w:val="nil"/>
            </w:tcBorders>
          </w:tcPr>
          <w:p>
            <w:pPr>
              <w:rPr>
                <w:sz w:val="2"/>
                <w:szCs w:val="2"/>
              </w:rPr>
            </w:pPr>
          </w:p>
        </w:tc>
        <w:tc>
          <w:tcPr>
            <w:tcW w:w="982" w:type="dxa"/>
            <w:vMerge w:val="continue"/>
            <w:tcBorders>
              <w:top w:val="nil"/>
            </w:tcBorders>
          </w:tcPr>
          <w:p>
            <w:pPr>
              <w:jc w:val="center"/>
              <w:rPr>
                <w:rFonts w:ascii="宋体" w:hAnsi="宋体" w:eastAsia="宋体" w:cs="宋体"/>
                <w:kern w:val="2"/>
                <w:sz w:val="18"/>
                <w:szCs w:val="22"/>
                <w:lang w:val="zh-CN" w:eastAsia="zh-CN" w:bidi="zh-CN"/>
              </w:rPr>
            </w:pPr>
          </w:p>
        </w:tc>
        <w:tc>
          <w:tcPr>
            <w:tcW w:w="1215" w:type="dxa"/>
            <w:vMerge w:val="continue"/>
            <w:tcBorders>
              <w:top w:val="nil"/>
            </w:tcBorders>
            <w:vAlign w:val="center"/>
          </w:tcPr>
          <w:p>
            <w:pPr>
              <w:pStyle w:val="9"/>
              <w:spacing w:before="68"/>
              <w:ind w:left="117"/>
              <w:jc w:val="center"/>
              <w:rPr>
                <w:rFonts w:hint="eastAsia"/>
                <w:sz w:val="18"/>
                <w:lang w:val="zh-CN" w:eastAsia="zh-CN"/>
              </w:rPr>
            </w:pPr>
          </w:p>
        </w:tc>
        <w:tc>
          <w:tcPr>
            <w:tcW w:w="1322" w:type="dxa"/>
            <w:gridSpan w:val="2"/>
          </w:tcPr>
          <w:p>
            <w:pPr>
              <w:pStyle w:val="9"/>
              <w:spacing w:before="68"/>
              <w:ind w:left="117"/>
              <w:jc w:val="center"/>
              <w:rPr>
                <w:rFonts w:hint="eastAsia"/>
                <w:sz w:val="18"/>
                <w:lang w:val="zh-CN" w:eastAsia="zh-CN"/>
              </w:rPr>
            </w:pPr>
            <w:r>
              <w:rPr>
                <w:rFonts w:hint="eastAsia"/>
                <w:sz w:val="18"/>
                <w:lang w:val="zh-CN" w:eastAsia="zh-CN"/>
              </w:rPr>
              <w:t>服务对象满意度</w:t>
            </w:r>
          </w:p>
        </w:tc>
        <w:tc>
          <w:tcPr>
            <w:tcW w:w="1732" w:type="dxa"/>
            <w:gridSpan w:val="2"/>
          </w:tcPr>
          <w:p>
            <w:pPr>
              <w:pStyle w:val="9"/>
              <w:spacing w:before="68"/>
              <w:ind w:left="117"/>
              <w:jc w:val="center"/>
              <w:rPr>
                <w:rFonts w:hint="eastAsia"/>
                <w:sz w:val="18"/>
                <w:lang w:val="zh-CN" w:eastAsia="zh-CN"/>
              </w:rPr>
            </w:pPr>
            <w:r>
              <w:rPr>
                <w:rFonts w:hint="eastAsia"/>
                <w:sz w:val="18"/>
                <w:lang w:val="zh-CN" w:eastAsia="zh-CN"/>
              </w:rPr>
              <w:t>≥</w:t>
            </w:r>
            <w:r>
              <w:rPr>
                <w:rFonts w:hint="eastAsia"/>
                <w:sz w:val="18"/>
                <w:lang w:val="en-US" w:eastAsia="zh-CN"/>
              </w:rPr>
              <w:t>99%</w:t>
            </w:r>
          </w:p>
        </w:tc>
        <w:tc>
          <w:tcPr>
            <w:tcW w:w="764" w:type="dxa"/>
          </w:tcPr>
          <w:p>
            <w:pPr>
              <w:pStyle w:val="9"/>
              <w:spacing w:before="68"/>
              <w:ind w:left="117"/>
              <w:jc w:val="center"/>
              <w:rPr>
                <w:rFonts w:hint="eastAsia"/>
                <w:sz w:val="18"/>
                <w:lang w:val="en-US" w:eastAsia="zh-CN"/>
              </w:rPr>
            </w:pPr>
            <w:r>
              <w:rPr>
                <w:rFonts w:hint="eastAsia"/>
                <w:sz w:val="18"/>
                <w:lang w:val="en-US" w:eastAsia="zh-CN"/>
              </w:rPr>
              <w:t>100</w:t>
            </w:r>
          </w:p>
        </w:tc>
        <w:tc>
          <w:tcPr>
            <w:tcW w:w="681" w:type="dxa"/>
            <w:gridSpan w:val="2"/>
          </w:tcPr>
          <w:p>
            <w:pPr>
              <w:pStyle w:val="9"/>
              <w:spacing w:before="68"/>
              <w:ind w:left="117"/>
              <w:jc w:val="center"/>
              <w:rPr>
                <w:rFonts w:hint="eastAsia"/>
                <w:sz w:val="18"/>
                <w:lang w:val="en-US" w:eastAsia="zh-CN"/>
              </w:rPr>
            </w:pPr>
            <w:r>
              <w:rPr>
                <w:rFonts w:hint="eastAsia"/>
                <w:sz w:val="18"/>
                <w:lang w:val="en-US" w:eastAsia="zh-CN"/>
              </w:rPr>
              <w:t>5</w:t>
            </w:r>
          </w:p>
        </w:tc>
        <w:tc>
          <w:tcPr>
            <w:tcW w:w="887" w:type="dxa"/>
            <w:gridSpan w:val="2"/>
          </w:tcPr>
          <w:p>
            <w:pPr>
              <w:pStyle w:val="9"/>
              <w:spacing w:before="68"/>
              <w:ind w:left="117"/>
              <w:jc w:val="center"/>
              <w:rPr>
                <w:rFonts w:hint="eastAsia"/>
                <w:sz w:val="18"/>
                <w:lang w:val="en-US" w:eastAsia="zh-CN"/>
              </w:rPr>
            </w:pPr>
            <w:r>
              <w:rPr>
                <w:rFonts w:hint="eastAsia"/>
                <w:sz w:val="18"/>
                <w:lang w:val="en-US" w:eastAsia="zh-CN"/>
              </w:rPr>
              <w:t>5</w:t>
            </w:r>
          </w:p>
        </w:tc>
        <w:tc>
          <w:tcPr>
            <w:tcW w:w="1063" w:type="dxa"/>
            <w:gridSpan w:val="2"/>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trPr>
        <w:tc>
          <w:tcPr>
            <w:tcW w:w="6604" w:type="dxa"/>
            <w:gridSpan w:val="8"/>
          </w:tcPr>
          <w:p>
            <w:pPr>
              <w:pStyle w:val="9"/>
              <w:spacing w:before="68"/>
              <w:ind w:left="117"/>
              <w:jc w:val="center"/>
              <w:rPr>
                <w:rFonts w:ascii="宋体" w:hAnsi="宋体" w:eastAsia="宋体" w:cs="宋体"/>
                <w:kern w:val="2"/>
                <w:sz w:val="18"/>
                <w:szCs w:val="22"/>
                <w:lang w:val="zh-CN" w:eastAsia="zh-CN" w:bidi="zh-CN"/>
              </w:rPr>
            </w:pPr>
            <w:r>
              <w:rPr>
                <w:rFonts w:ascii="宋体" w:hAnsi="宋体" w:eastAsia="宋体" w:cs="宋体"/>
                <w:kern w:val="2"/>
                <w:sz w:val="18"/>
                <w:szCs w:val="22"/>
                <w:lang w:val="zh-CN" w:eastAsia="zh-CN" w:bidi="zh-CN"/>
              </w:rPr>
              <w:t>总分</w:t>
            </w:r>
          </w:p>
        </w:tc>
        <w:tc>
          <w:tcPr>
            <w:tcW w:w="681" w:type="dxa"/>
            <w:gridSpan w:val="2"/>
          </w:tcPr>
          <w:p>
            <w:pPr>
              <w:pStyle w:val="9"/>
              <w:spacing w:before="97"/>
              <w:ind w:left="71" w:right="56"/>
              <w:jc w:val="center"/>
              <w:rPr>
                <w:rFonts w:hint="default"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100</w:t>
            </w:r>
          </w:p>
        </w:tc>
        <w:tc>
          <w:tcPr>
            <w:tcW w:w="887" w:type="dxa"/>
            <w:gridSpan w:val="2"/>
          </w:tcPr>
          <w:p>
            <w:pPr>
              <w:pStyle w:val="9"/>
              <w:spacing w:before="97"/>
              <w:ind w:left="71" w:right="56"/>
              <w:jc w:val="center"/>
              <w:rPr>
                <w:rFonts w:hint="default"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100</w:t>
            </w:r>
          </w:p>
        </w:tc>
        <w:tc>
          <w:tcPr>
            <w:tcW w:w="1063" w:type="dxa"/>
            <w:gridSpan w:val="2"/>
          </w:tcPr>
          <w:p>
            <w:pPr>
              <w:pStyle w:val="9"/>
              <w:spacing w:before="97"/>
              <w:ind w:left="71" w:right="56"/>
              <w:jc w:val="center"/>
              <w:rPr>
                <w:rFonts w:hint="eastAsia" w:ascii="宋体" w:hAnsi="宋体" w:eastAsia="宋体" w:cs="宋体"/>
                <w:kern w:val="2"/>
                <w:sz w:val="18"/>
                <w:szCs w:val="22"/>
                <w:lang w:val="zh-CN" w:eastAsia="zh-CN" w:bidi="zh-CN"/>
              </w:rPr>
            </w:pPr>
          </w:p>
        </w:tc>
      </w:tr>
    </w:tbl>
    <w:p>
      <w:pPr>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jc w:val="both"/>
        <w:rPr>
          <w:rFonts w:hint="default"/>
          <w:lang w:val="en-US" w:eastAsia="zh-CN"/>
        </w:rPr>
      </w:pPr>
      <w:r>
        <w:rPr>
          <w:rFonts w:hint="eastAsia" w:ascii="仿宋_GB2312" w:hAnsi="仿宋_GB2312" w:eastAsia="仿宋_GB2312" w:cs="仿宋_GB2312"/>
          <w:b w:val="0"/>
          <w:kern w:val="2"/>
          <w:sz w:val="32"/>
          <w:szCs w:val="32"/>
          <w:highlight w:val="none"/>
          <w:lang w:val="en-US" w:eastAsia="zh-CN" w:bidi="ar-SA"/>
        </w:rPr>
        <w:t>2、调剂补充粮油质量监测经费</w:t>
      </w:r>
    </w:p>
    <w:tbl>
      <w:tblPr>
        <w:tblStyle w:val="6"/>
        <w:tblpPr w:leftFromText="180" w:rightFromText="180" w:vertAnchor="text" w:horzAnchor="page" w:tblpX="1375" w:tblpY="1113"/>
        <w:tblOverlap w:val="never"/>
        <w:tblW w:w="92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9"/>
        <w:gridCol w:w="982"/>
        <w:gridCol w:w="1215"/>
        <w:gridCol w:w="631"/>
        <w:gridCol w:w="691"/>
        <w:gridCol w:w="445"/>
        <w:gridCol w:w="1287"/>
        <w:gridCol w:w="764"/>
        <w:gridCol w:w="222"/>
        <w:gridCol w:w="459"/>
        <w:gridCol w:w="251"/>
        <w:gridCol w:w="636"/>
        <w:gridCol w:w="216"/>
        <w:gridCol w:w="8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571" w:type="dxa"/>
            <w:gridSpan w:val="2"/>
          </w:tcPr>
          <w:p>
            <w:pPr>
              <w:pStyle w:val="9"/>
              <w:spacing w:before="68"/>
              <w:ind w:left="428"/>
              <w:rPr>
                <w:sz w:val="18"/>
              </w:rPr>
            </w:pPr>
            <w:r>
              <w:rPr>
                <w:sz w:val="18"/>
              </w:rPr>
              <w:t>项目名称</w:t>
            </w:r>
          </w:p>
        </w:tc>
        <w:tc>
          <w:tcPr>
            <w:tcW w:w="7664" w:type="dxa"/>
            <w:gridSpan w:val="12"/>
          </w:tcPr>
          <w:p>
            <w:pPr>
              <w:pStyle w:val="9"/>
              <w:spacing w:before="35"/>
              <w:ind w:left="2520" w:leftChars="0" w:right="1639" w:rightChars="0" w:firstLine="0" w:firstLineChars="0"/>
              <w:jc w:val="center"/>
              <w:rPr>
                <w:rFonts w:hint="default" w:ascii="仿宋" w:eastAsia="仿宋"/>
                <w:sz w:val="21"/>
                <w:lang w:val="en-US" w:eastAsia="zh-CN"/>
              </w:rPr>
            </w:pPr>
            <w:r>
              <w:rPr>
                <w:rFonts w:hint="eastAsia" w:ascii="仿宋" w:eastAsia="仿宋"/>
                <w:sz w:val="21"/>
                <w:lang w:val="en-US" w:eastAsia="zh-CN"/>
              </w:rPr>
              <w:t>调剂补充粮油质量监测经费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571" w:type="dxa"/>
            <w:gridSpan w:val="2"/>
          </w:tcPr>
          <w:p>
            <w:pPr>
              <w:pStyle w:val="9"/>
              <w:spacing w:before="68"/>
              <w:ind w:left="428"/>
              <w:rPr>
                <w:sz w:val="18"/>
              </w:rPr>
            </w:pPr>
            <w:r>
              <w:rPr>
                <w:sz w:val="18"/>
              </w:rPr>
              <w:t>主管部门</w:t>
            </w:r>
          </w:p>
        </w:tc>
        <w:tc>
          <w:tcPr>
            <w:tcW w:w="4269" w:type="dxa"/>
            <w:gridSpan w:val="5"/>
          </w:tcPr>
          <w:p>
            <w:pPr>
              <w:pStyle w:val="9"/>
              <w:rPr>
                <w:rFonts w:hint="eastAsia" w:ascii="Times New Roman" w:eastAsia="宋体"/>
                <w:sz w:val="18"/>
                <w:lang w:eastAsia="zh-CN"/>
              </w:rPr>
            </w:pPr>
            <w:r>
              <w:rPr>
                <w:rFonts w:hint="eastAsia" w:ascii="Times New Roman"/>
                <w:sz w:val="18"/>
                <w:lang w:eastAsia="zh-CN"/>
              </w:rPr>
              <w:t>承德市发展和改革委员会</w:t>
            </w:r>
          </w:p>
        </w:tc>
        <w:tc>
          <w:tcPr>
            <w:tcW w:w="986" w:type="dxa"/>
            <w:gridSpan w:val="2"/>
          </w:tcPr>
          <w:p>
            <w:pPr>
              <w:pStyle w:val="9"/>
              <w:spacing w:before="68"/>
              <w:ind w:left="213"/>
              <w:rPr>
                <w:sz w:val="18"/>
              </w:rPr>
            </w:pPr>
            <w:r>
              <w:rPr>
                <w:sz w:val="18"/>
              </w:rPr>
              <w:t>实施单位</w:t>
            </w:r>
          </w:p>
        </w:tc>
        <w:tc>
          <w:tcPr>
            <w:tcW w:w="2409" w:type="dxa"/>
            <w:gridSpan w:val="5"/>
          </w:tcPr>
          <w:p>
            <w:pPr>
              <w:pStyle w:val="9"/>
              <w:spacing w:before="68"/>
              <w:ind w:left="210" w:leftChars="0" w:right="164" w:rightChars="0" w:hanging="210" w:hangingChars="117"/>
              <w:jc w:val="center"/>
              <w:rPr>
                <w:rFonts w:hint="eastAsia" w:eastAsia="宋体"/>
                <w:sz w:val="18"/>
                <w:lang w:eastAsia="zh-CN"/>
              </w:rPr>
            </w:pPr>
            <w:r>
              <w:rPr>
                <w:rFonts w:hint="eastAsia"/>
                <w:sz w:val="18"/>
                <w:lang w:eastAsia="zh-CN"/>
              </w:rPr>
              <w:t>承德市粮油质量检测中心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1571" w:type="dxa"/>
            <w:gridSpan w:val="2"/>
            <w:vMerge w:val="restart"/>
          </w:tcPr>
          <w:p>
            <w:pPr>
              <w:pStyle w:val="9"/>
              <w:rPr>
                <w:sz w:val="18"/>
              </w:rPr>
            </w:pPr>
          </w:p>
          <w:p>
            <w:pPr>
              <w:pStyle w:val="9"/>
              <w:rPr>
                <w:sz w:val="18"/>
              </w:rPr>
            </w:pPr>
          </w:p>
          <w:p>
            <w:pPr>
              <w:pStyle w:val="9"/>
              <w:spacing w:before="12"/>
              <w:rPr>
                <w:sz w:val="15"/>
              </w:rPr>
            </w:pPr>
          </w:p>
          <w:p>
            <w:pPr>
              <w:pStyle w:val="9"/>
              <w:ind w:left="428"/>
              <w:rPr>
                <w:sz w:val="18"/>
              </w:rPr>
            </w:pPr>
            <w:r>
              <w:rPr>
                <w:sz w:val="18"/>
              </w:rPr>
              <w:t>项目资金</w:t>
            </w:r>
          </w:p>
          <w:p>
            <w:pPr>
              <w:pStyle w:val="9"/>
              <w:spacing w:before="12"/>
              <w:ind w:left="428"/>
              <w:rPr>
                <w:sz w:val="18"/>
              </w:rPr>
            </w:pPr>
            <w:r>
              <w:rPr>
                <w:sz w:val="18"/>
              </w:rPr>
              <w:t>（万元）</w:t>
            </w:r>
          </w:p>
        </w:tc>
        <w:tc>
          <w:tcPr>
            <w:tcW w:w="1846" w:type="dxa"/>
            <w:gridSpan w:val="2"/>
          </w:tcPr>
          <w:p>
            <w:pPr>
              <w:pStyle w:val="9"/>
              <w:rPr>
                <w:rFonts w:ascii="Times New Roman"/>
                <w:sz w:val="18"/>
              </w:rPr>
            </w:pPr>
          </w:p>
        </w:tc>
        <w:tc>
          <w:tcPr>
            <w:tcW w:w="1136" w:type="dxa"/>
            <w:gridSpan w:val="2"/>
          </w:tcPr>
          <w:p>
            <w:pPr>
              <w:pStyle w:val="9"/>
              <w:spacing w:before="66"/>
              <w:ind w:left="102" w:right="84"/>
              <w:jc w:val="center"/>
              <w:rPr>
                <w:sz w:val="18"/>
              </w:rPr>
            </w:pPr>
            <w:r>
              <w:rPr>
                <w:sz w:val="18"/>
              </w:rPr>
              <w:t>年初预算数</w:t>
            </w:r>
          </w:p>
        </w:tc>
        <w:tc>
          <w:tcPr>
            <w:tcW w:w="1287" w:type="dxa"/>
          </w:tcPr>
          <w:p>
            <w:pPr>
              <w:pStyle w:val="9"/>
              <w:spacing w:before="66"/>
              <w:ind w:left="121"/>
              <w:rPr>
                <w:sz w:val="18"/>
              </w:rPr>
            </w:pPr>
            <w:r>
              <w:rPr>
                <w:sz w:val="18"/>
              </w:rPr>
              <w:t>全年预算数</w:t>
            </w:r>
          </w:p>
        </w:tc>
        <w:tc>
          <w:tcPr>
            <w:tcW w:w="986" w:type="dxa"/>
            <w:gridSpan w:val="2"/>
          </w:tcPr>
          <w:p>
            <w:pPr>
              <w:pStyle w:val="9"/>
              <w:spacing w:before="66"/>
              <w:ind w:left="121"/>
              <w:rPr>
                <w:sz w:val="18"/>
              </w:rPr>
            </w:pPr>
            <w:r>
              <w:rPr>
                <w:sz w:val="18"/>
              </w:rPr>
              <w:t>全年执行数</w:t>
            </w:r>
          </w:p>
        </w:tc>
        <w:tc>
          <w:tcPr>
            <w:tcW w:w="710" w:type="dxa"/>
            <w:gridSpan w:val="2"/>
          </w:tcPr>
          <w:p>
            <w:pPr>
              <w:pStyle w:val="9"/>
              <w:spacing w:before="66"/>
              <w:ind w:left="178"/>
              <w:rPr>
                <w:sz w:val="18"/>
              </w:rPr>
            </w:pPr>
            <w:r>
              <w:rPr>
                <w:sz w:val="18"/>
              </w:rPr>
              <w:t>分值</w:t>
            </w:r>
          </w:p>
        </w:tc>
        <w:tc>
          <w:tcPr>
            <w:tcW w:w="852" w:type="dxa"/>
            <w:gridSpan w:val="2"/>
          </w:tcPr>
          <w:p>
            <w:pPr>
              <w:pStyle w:val="9"/>
              <w:spacing w:before="66"/>
              <w:ind w:left="159"/>
              <w:rPr>
                <w:sz w:val="18"/>
              </w:rPr>
            </w:pPr>
            <w:r>
              <w:rPr>
                <w:sz w:val="18"/>
              </w:rPr>
              <w:t>执行率</w:t>
            </w:r>
          </w:p>
        </w:tc>
        <w:tc>
          <w:tcPr>
            <w:tcW w:w="847" w:type="dxa"/>
          </w:tcPr>
          <w:p>
            <w:pPr>
              <w:pStyle w:val="9"/>
              <w:spacing w:before="66"/>
              <w:ind w:left="159" w:right="143"/>
              <w:jc w:val="center"/>
              <w:rPr>
                <w:sz w:val="18"/>
              </w:rPr>
            </w:pPr>
            <w:r>
              <w:rPr>
                <w:sz w:val="18"/>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571" w:type="dxa"/>
            <w:gridSpan w:val="2"/>
            <w:vMerge w:val="continue"/>
            <w:tcBorders>
              <w:top w:val="nil"/>
            </w:tcBorders>
          </w:tcPr>
          <w:p>
            <w:pPr>
              <w:rPr>
                <w:sz w:val="2"/>
                <w:szCs w:val="2"/>
              </w:rPr>
            </w:pPr>
          </w:p>
        </w:tc>
        <w:tc>
          <w:tcPr>
            <w:tcW w:w="1846" w:type="dxa"/>
            <w:gridSpan w:val="2"/>
          </w:tcPr>
          <w:p>
            <w:pPr>
              <w:pStyle w:val="9"/>
              <w:spacing w:before="68"/>
              <w:ind w:left="112"/>
              <w:rPr>
                <w:sz w:val="18"/>
              </w:rPr>
            </w:pPr>
            <w:r>
              <w:rPr>
                <w:sz w:val="18"/>
              </w:rPr>
              <w:t>年度资金总额</w:t>
            </w:r>
          </w:p>
        </w:tc>
        <w:tc>
          <w:tcPr>
            <w:tcW w:w="1136" w:type="dxa"/>
            <w:gridSpan w:val="2"/>
          </w:tcPr>
          <w:p>
            <w:pPr>
              <w:pStyle w:val="9"/>
              <w:spacing w:before="68"/>
              <w:ind w:left="19"/>
              <w:jc w:val="center"/>
              <w:rPr>
                <w:sz w:val="18"/>
              </w:rPr>
            </w:pPr>
            <w:r>
              <w:rPr>
                <w:sz w:val="18"/>
              </w:rPr>
              <w:t>5</w:t>
            </w:r>
          </w:p>
        </w:tc>
        <w:tc>
          <w:tcPr>
            <w:tcW w:w="1287" w:type="dxa"/>
          </w:tcPr>
          <w:p>
            <w:pPr>
              <w:pStyle w:val="9"/>
              <w:spacing w:before="68"/>
              <w:ind w:left="16"/>
              <w:jc w:val="center"/>
              <w:rPr>
                <w:sz w:val="18"/>
              </w:rPr>
            </w:pPr>
            <w:r>
              <w:rPr>
                <w:sz w:val="18"/>
              </w:rPr>
              <w:t>5</w:t>
            </w:r>
          </w:p>
        </w:tc>
        <w:tc>
          <w:tcPr>
            <w:tcW w:w="986" w:type="dxa"/>
            <w:gridSpan w:val="2"/>
          </w:tcPr>
          <w:p>
            <w:pPr>
              <w:pStyle w:val="9"/>
              <w:spacing w:before="68"/>
              <w:ind w:left="19"/>
              <w:jc w:val="center"/>
              <w:rPr>
                <w:sz w:val="18"/>
              </w:rPr>
            </w:pPr>
            <w:r>
              <w:rPr>
                <w:sz w:val="18"/>
              </w:rPr>
              <w:t>5</w:t>
            </w:r>
          </w:p>
        </w:tc>
        <w:tc>
          <w:tcPr>
            <w:tcW w:w="710" w:type="dxa"/>
            <w:gridSpan w:val="2"/>
          </w:tcPr>
          <w:p>
            <w:pPr>
              <w:pStyle w:val="9"/>
              <w:spacing w:before="68"/>
              <w:ind w:left="157"/>
              <w:rPr>
                <w:sz w:val="18"/>
              </w:rPr>
            </w:pPr>
            <w:r>
              <w:rPr>
                <w:sz w:val="18"/>
              </w:rPr>
              <w:t>10 分</w:t>
            </w:r>
          </w:p>
        </w:tc>
        <w:tc>
          <w:tcPr>
            <w:tcW w:w="852" w:type="dxa"/>
            <w:gridSpan w:val="2"/>
          </w:tcPr>
          <w:p>
            <w:pPr>
              <w:pStyle w:val="9"/>
              <w:spacing w:before="68"/>
              <w:ind w:left="294"/>
              <w:rPr>
                <w:sz w:val="18"/>
              </w:rPr>
            </w:pPr>
            <w:r>
              <w:rPr>
                <w:sz w:val="18"/>
              </w:rPr>
              <w:t>100</w:t>
            </w:r>
          </w:p>
        </w:tc>
        <w:tc>
          <w:tcPr>
            <w:tcW w:w="847" w:type="dxa"/>
          </w:tcPr>
          <w:p>
            <w:pPr>
              <w:pStyle w:val="9"/>
              <w:spacing w:before="68"/>
              <w:ind w:left="133"/>
              <w:rPr>
                <w:sz w:val="18"/>
              </w:rPr>
            </w:pPr>
            <w:r>
              <w:rPr>
                <w:sz w:val="18"/>
              </w:rPr>
              <w:t>10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571" w:type="dxa"/>
            <w:gridSpan w:val="2"/>
            <w:vMerge w:val="continue"/>
            <w:tcBorders>
              <w:top w:val="nil"/>
            </w:tcBorders>
          </w:tcPr>
          <w:p>
            <w:pPr>
              <w:rPr>
                <w:sz w:val="2"/>
                <w:szCs w:val="2"/>
              </w:rPr>
            </w:pPr>
          </w:p>
        </w:tc>
        <w:tc>
          <w:tcPr>
            <w:tcW w:w="1846" w:type="dxa"/>
            <w:gridSpan w:val="2"/>
          </w:tcPr>
          <w:p>
            <w:pPr>
              <w:pStyle w:val="9"/>
              <w:spacing w:before="68"/>
              <w:ind w:left="117"/>
              <w:rPr>
                <w:sz w:val="18"/>
              </w:rPr>
            </w:pPr>
            <w:r>
              <w:rPr>
                <w:sz w:val="18"/>
              </w:rPr>
              <w:t>其中：当年财政拨款</w:t>
            </w:r>
          </w:p>
        </w:tc>
        <w:tc>
          <w:tcPr>
            <w:tcW w:w="1136" w:type="dxa"/>
            <w:gridSpan w:val="2"/>
          </w:tcPr>
          <w:p>
            <w:pPr>
              <w:pStyle w:val="9"/>
              <w:spacing w:before="68"/>
              <w:ind w:left="19"/>
              <w:jc w:val="center"/>
              <w:rPr>
                <w:sz w:val="18"/>
              </w:rPr>
            </w:pPr>
            <w:r>
              <w:rPr>
                <w:sz w:val="18"/>
              </w:rPr>
              <w:t>5</w:t>
            </w:r>
          </w:p>
        </w:tc>
        <w:tc>
          <w:tcPr>
            <w:tcW w:w="1287" w:type="dxa"/>
          </w:tcPr>
          <w:p>
            <w:pPr>
              <w:pStyle w:val="9"/>
              <w:spacing w:before="68"/>
              <w:ind w:left="16"/>
              <w:jc w:val="center"/>
              <w:rPr>
                <w:sz w:val="18"/>
              </w:rPr>
            </w:pPr>
            <w:r>
              <w:rPr>
                <w:sz w:val="18"/>
              </w:rPr>
              <w:t>5</w:t>
            </w:r>
          </w:p>
        </w:tc>
        <w:tc>
          <w:tcPr>
            <w:tcW w:w="986" w:type="dxa"/>
            <w:gridSpan w:val="2"/>
          </w:tcPr>
          <w:p>
            <w:pPr>
              <w:pStyle w:val="9"/>
              <w:spacing w:before="68"/>
              <w:ind w:left="19"/>
              <w:jc w:val="center"/>
              <w:rPr>
                <w:sz w:val="18"/>
              </w:rPr>
            </w:pPr>
            <w:r>
              <w:rPr>
                <w:sz w:val="18"/>
              </w:rPr>
              <w:t>5</w:t>
            </w:r>
          </w:p>
        </w:tc>
        <w:tc>
          <w:tcPr>
            <w:tcW w:w="710" w:type="dxa"/>
            <w:gridSpan w:val="2"/>
          </w:tcPr>
          <w:p>
            <w:pPr>
              <w:pStyle w:val="9"/>
              <w:spacing w:before="68"/>
              <w:ind w:left="19"/>
              <w:jc w:val="center"/>
              <w:rPr>
                <w:sz w:val="18"/>
              </w:rPr>
            </w:pPr>
            <w:r>
              <w:rPr>
                <w:sz w:val="18"/>
              </w:rPr>
              <w:t>—</w:t>
            </w:r>
          </w:p>
        </w:tc>
        <w:tc>
          <w:tcPr>
            <w:tcW w:w="852" w:type="dxa"/>
            <w:gridSpan w:val="2"/>
          </w:tcPr>
          <w:p>
            <w:pPr>
              <w:pStyle w:val="9"/>
              <w:spacing w:before="68"/>
              <w:ind w:left="294"/>
              <w:rPr>
                <w:sz w:val="18"/>
              </w:rPr>
            </w:pPr>
            <w:r>
              <w:rPr>
                <w:sz w:val="18"/>
              </w:rPr>
              <w:t>100</w:t>
            </w:r>
          </w:p>
        </w:tc>
        <w:tc>
          <w:tcPr>
            <w:tcW w:w="847" w:type="dxa"/>
          </w:tcPr>
          <w:p>
            <w:pPr>
              <w:pStyle w:val="9"/>
              <w:spacing w:before="68"/>
              <w:ind w:left="1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571" w:type="dxa"/>
            <w:gridSpan w:val="2"/>
            <w:vMerge w:val="continue"/>
            <w:tcBorders>
              <w:top w:val="nil"/>
            </w:tcBorders>
          </w:tcPr>
          <w:p>
            <w:pPr>
              <w:rPr>
                <w:sz w:val="2"/>
                <w:szCs w:val="2"/>
              </w:rPr>
            </w:pPr>
          </w:p>
        </w:tc>
        <w:tc>
          <w:tcPr>
            <w:tcW w:w="1846" w:type="dxa"/>
            <w:gridSpan w:val="2"/>
          </w:tcPr>
          <w:p>
            <w:pPr>
              <w:pStyle w:val="9"/>
              <w:spacing w:before="67"/>
              <w:ind w:left="657"/>
              <w:rPr>
                <w:sz w:val="18"/>
              </w:rPr>
            </w:pPr>
            <w:r>
              <w:rPr>
                <w:sz w:val="18"/>
              </w:rPr>
              <w:t>上年结转资金</w:t>
            </w:r>
          </w:p>
        </w:tc>
        <w:tc>
          <w:tcPr>
            <w:tcW w:w="1136" w:type="dxa"/>
            <w:gridSpan w:val="2"/>
          </w:tcPr>
          <w:p>
            <w:pPr>
              <w:pStyle w:val="9"/>
              <w:rPr>
                <w:rFonts w:ascii="Times New Roman"/>
                <w:sz w:val="18"/>
              </w:rPr>
            </w:pPr>
          </w:p>
        </w:tc>
        <w:tc>
          <w:tcPr>
            <w:tcW w:w="1287" w:type="dxa"/>
          </w:tcPr>
          <w:p>
            <w:pPr>
              <w:pStyle w:val="9"/>
              <w:rPr>
                <w:rFonts w:ascii="Times New Roman"/>
                <w:sz w:val="18"/>
              </w:rPr>
            </w:pPr>
          </w:p>
        </w:tc>
        <w:tc>
          <w:tcPr>
            <w:tcW w:w="986" w:type="dxa"/>
            <w:gridSpan w:val="2"/>
          </w:tcPr>
          <w:p>
            <w:pPr>
              <w:pStyle w:val="9"/>
              <w:rPr>
                <w:rFonts w:ascii="Times New Roman"/>
                <w:sz w:val="18"/>
              </w:rPr>
            </w:pPr>
          </w:p>
        </w:tc>
        <w:tc>
          <w:tcPr>
            <w:tcW w:w="710" w:type="dxa"/>
            <w:gridSpan w:val="2"/>
          </w:tcPr>
          <w:p>
            <w:pPr>
              <w:pStyle w:val="9"/>
              <w:spacing w:before="67"/>
              <w:ind w:left="19"/>
              <w:jc w:val="center"/>
              <w:rPr>
                <w:sz w:val="18"/>
              </w:rPr>
            </w:pPr>
            <w:r>
              <w:rPr>
                <w:sz w:val="18"/>
              </w:rPr>
              <w:t>—</w:t>
            </w:r>
          </w:p>
        </w:tc>
        <w:tc>
          <w:tcPr>
            <w:tcW w:w="852" w:type="dxa"/>
            <w:gridSpan w:val="2"/>
          </w:tcPr>
          <w:p>
            <w:pPr>
              <w:pStyle w:val="9"/>
              <w:rPr>
                <w:rFonts w:ascii="Times New Roman"/>
                <w:sz w:val="18"/>
              </w:rPr>
            </w:pPr>
          </w:p>
        </w:tc>
        <w:tc>
          <w:tcPr>
            <w:tcW w:w="847" w:type="dxa"/>
          </w:tcPr>
          <w:p>
            <w:pPr>
              <w:pStyle w:val="9"/>
              <w:spacing w:before="67"/>
              <w:ind w:left="1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571" w:type="dxa"/>
            <w:gridSpan w:val="2"/>
            <w:vMerge w:val="continue"/>
            <w:tcBorders>
              <w:top w:val="nil"/>
            </w:tcBorders>
          </w:tcPr>
          <w:p>
            <w:pPr>
              <w:rPr>
                <w:sz w:val="2"/>
                <w:szCs w:val="2"/>
              </w:rPr>
            </w:pPr>
          </w:p>
        </w:tc>
        <w:tc>
          <w:tcPr>
            <w:tcW w:w="1846" w:type="dxa"/>
            <w:gridSpan w:val="2"/>
          </w:tcPr>
          <w:p>
            <w:pPr>
              <w:pStyle w:val="9"/>
              <w:spacing w:before="67"/>
              <w:ind w:left="657"/>
              <w:rPr>
                <w:sz w:val="18"/>
              </w:rPr>
            </w:pPr>
            <w:r>
              <w:rPr>
                <w:sz w:val="18"/>
              </w:rPr>
              <w:t>其他资金</w:t>
            </w:r>
          </w:p>
        </w:tc>
        <w:tc>
          <w:tcPr>
            <w:tcW w:w="1136" w:type="dxa"/>
            <w:gridSpan w:val="2"/>
          </w:tcPr>
          <w:p>
            <w:pPr>
              <w:pStyle w:val="9"/>
              <w:rPr>
                <w:rFonts w:ascii="Times New Roman"/>
                <w:sz w:val="18"/>
              </w:rPr>
            </w:pPr>
          </w:p>
        </w:tc>
        <w:tc>
          <w:tcPr>
            <w:tcW w:w="1287" w:type="dxa"/>
          </w:tcPr>
          <w:p>
            <w:pPr>
              <w:pStyle w:val="9"/>
              <w:rPr>
                <w:rFonts w:ascii="Times New Roman"/>
                <w:sz w:val="18"/>
              </w:rPr>
            </w:pPr>
          </w:p>
        </w:tc>
        <w:tc>
          <w:tcPr>
            <w:tcW w:w="986" w:type="dxa"/>
            <w:gridSpan w:val="2"/>
          </w:tcPr>
          <w:p>
            <w:pPr>
              <w:pStyle w:val="9"/>
              <w:rPr>
                <w:rFonts w:ascii="Times New Roman"/>
                <w:sz w:val="18"/>
              </w:rPr>
            </w:pPr>
          </w:p>
        </w:tc>
        <w:tc>
          <w:tcPr>
            <w:tcW w:w="710" w:type="dxa"/>
            <w:gridSpan w:val="2"/>
          </w:tcPr>
          <w:p>
            <w:pPr>
              <w:pStyle w:val="9"/>
              <w:spacing w:before="67"/>
              <w:ind w:left="19"/>
              <w:jc w:val="center"/>
              <w:rPr>
                <w:sz w:val="18"/>
              </w:rPr>
            </w:pPr>
            <w:r>
              <w:rPr>
                <w:sz w:val="18"/>
              </w:rPr>
              <w:t>—</w:t>
            </w:r>
          </w:p>
        </w:tc>
        <w:tc>
          <w:tcPr>
            <w:tcW w:w="852" w:type="dxa"/>
            <w:gridSpan w:val="2"/>
          </w:tcPr>
          <w:p>
            <w:pPr>
              <w:pStyle w:val="9"/>
              <w:rPr>
                <w:rFonts w:ascii="Times New Roman"/>
                <w:sz w:val="18"/>
              </w:rPr>
            </w:pPr>
          </w:p>
        </w:tc>
        <w:tc>
          <w:tcPr>
            <w:tcW w:w="847" w:type="dxa"/>
          </w:tcPr>
          <w:p>
            <w:pPr>
              <w:pStyle w:val="9"/>
              <w:spacing w:before="67"/>
              <w:ind w:left="1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89" w:type="dxa"/>
            <w:vMerge w:val="restart"/>
          </w:tcPr>
          <w:p>
            <w:pPr>
              <w:pStyle w:val="9"/>
              <w:rPr>
                <w:sz w:val="18"/>
              </w:rPr>
            </w:pPr>
          </w:p>
          <w:p>
            <w:pPr>
              <w:pStyle w:val="9"/>
              <w:spacing w:before="8"/>
              <w:rPr>
                <w:sz w:val="13"/>
              </w:rPr>
            </w:pPr>
          </w:p>
          <w:p>
            <w:pPr>
              <w:pStyle w:val="9"/>
              <w:spacing w:before="1" w:line="252" w:lineRule="auto"/>
              <w:ind w:left="119" w:right="95"/>
              <w:jc w:val="both"/>
              <w:rPr>
                <w:sz w:val="18"/>
              </w:rPr>
            </w:pPr>
            <w:r>
              <w:rPr>
                <w:sz w:val="18"/>
              </w:rPr>
              <w:t>年度总体目标</w:t>
            </w:r>
          </w:p>
        </w:tc>
        <w:tc>
          <w:tcPr>
            <w:tcW w:w="5251" w:type="dxa"/>
            <w:gridSpan w:val="6"/>
          </w:tcPr>
          <w:p>
            <w:pPr>
              <w:pStyle w:val="9"/>
              <w:spacing w:before="67"/>
              <w:ind w:left="2174" w:right="2157"/>
              <w:jc w:val="center"/>
              <w:rPr>
                <w:sz w:val="18"/>
              </w:rPr>
            </w:pPr>
            <w:r>
              <w:rPr>
                <w:sz w:val="18"/>
              </w:rPr>
              <w:t>预期目标</w:t>
            </w:r>
          </w:p>
        </w:tc>
        <w:tc>
          <w:tcPr>
            <w:tcW w:w="3395" w:type="dxa"/>
            <w:gridSpan w:val="7"/>
          </w:tcPr>
          <w:p>
            <w:pPr>
              <w:pStyle w:val="9"/>
              <w:spacing w:before="67"/>
              <w:ind w:left="1148" w:right="1132"/>
              <w:jc w:val="center"/>
              <w:rPr>
                <w:sz w:val="18"/>
              </w:rPr>
            </w:pPr>
            <w:r>
              <w:rPr>
                <w:sz w:val="18"/>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8" w:hRule="atLeast"/>
        </w:trPr>
        <w:tc>
          <w:tcPr>
            <w:tcW w:w="589" w:type="dxa"/>
            <w:vMerge w:val="continue"/>
            <w:tcBorders>
              <w:top w:val="nil"/>
            </w:tcBorders>
          </w:tcPr>
          <w:p>
            <w:pPr>
              <w:rPr>
                <w:sz w:val="2"/>
                <w:szCs w:val="2"/>
              </w:rPr>
            </w:pPr>
          </w:p>
        </w:tc>
        <w:tc>
          <w:tcPr>
            <w:tcW w:w="5251" w:type="dxa"/>
            <w:gridSpan w:val="6"/>
          </w:tcPr>
          <w:p>
            <w:pPr>
              <w:pStyle w:val="9"/>
              <w:spacing w:before="5"/>
              <w:rPr>
                <w:sz w:val="14"/>
              </w:rPr>
            </w:pPr>
          </w:p>
          <w:p>
            <w:pPr>
              <w:pStyle w:val="9"/>
              <w:spacing w:line="229" w:lineRule="exact"/>
              <w:ind w:left="113"/>
              <w:rPr>
                <w:rFonts w:hint="eastAsia" w:ascii="仿宋" w:eastAsia="仿宋"/>
                <w:sz w:val="18"/>
              </w:rPr>
            </w:pPr>
          </w:p>
        </w:tc>
        <w:tc>
          <w:tcPr>
            <w:tcW w:w="3395" w:type="dxa"/>
            <w:gridSpan w:val="7"/>
          </w:tcPr>
          <w:p>
            <w:pPr>
              <w:pStyle w:val="9"/>
              <w:spacing w:before="179"/>
              <w:ind w:firstLine="420" w:firstLineChars="200"/>
              <w:rPr>
                <w:rFonts w:hint="eastAsia" w:ascii="仿宋" w:eastAsia="仿宋"/>
                <w:sz w:val="21"/>
              </w:rPr>
            </w:pPr>
            <w:r>
              <w:rPr>
                <w:rFonts w:hint="eastAsia" w:ascii="仿宋" w:eastAsia="仿宋"/>
                <w:sz w:val="21"/>
              </w:rPr>
              <w:t>共出具检验报告8份，其中接受监督检验样品6批次，接受外部委托2批次。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589" w:type="dxa"/>
            <w:vMerge w:val="restart"/>
          </w:tcPr>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spacing w:before="123" w:line="252" w:lineRule="auto"/>
              <w:ind w:left="207" w:right="189"/>
              <w:jc w:val="both"/>
              <w:rPr>
                <w:sz w:val="18"/>
              </w:rPr>
            </w:pPr>
            <w:r>
              <w:rPr>
                <w:sz w:val="18"/>
              </w:rPr>
              <w:t>绩效指标</w:t>
            </w:r>
          </w:p>
        </w:tc>
        <w:tc>
          <w:tcPr>
            <w:tcW w:w="982" w:type="dxa"/>
            <w:vAlign w:val="center"/>
          </w:tcPr>
          <w:p>
            <w:pPr>
              <w:pStyle w:val="9"/>
              <w:spacing w:before="2"/>
              <w:jc w:val="center"/>
              <w:rPr>
                <w:sz w:val="16"/>
              </w:rPr>
            </w:pPr>
          </w:p>
          <w:p>
            <w:pPr>
              <w:pStyle w:val="9"/>
              <w:ind w:left="134"/>
              <w:jc w:val="center"/>
              <w:rPr>
                <w:sz w:val="18"/>
              </w:rPr>
            </w:pPr>
            <w:r>
              <w:rPr>
                <w:sz w:val="18"/>
              </w:rPr>
              <w:t>一级指标</w:t>
            </w:r>
          </w:p>
        </w:tc>
        <w:tc>
          <w:tcPr>
            <w:tcW w:w="1215" w:type="dxa"/>
            <w:vAlign w:val="center"/>
          </w:tcPr>
          <w:p>
            <w:pPr>
              <w:pStyle w:val="9"/>
              <w:spacing w:before="2"/>
              <w:jc w:val="center"/>
              <w:rPr>
                <w:sz w:val="16"/>
              </w:rPr>
            </w:pPr>
          </w:p>
          <w:p>
            <w:pPr>
              <w:pStyle w:val="9"/>
              <w:ind w:left="201"/>
              <w:jc w:val="center"/>
              <w:rPr>
                <w:sz w:val="18"/>
              </w:rPr>
            </w:pPr>
            <w:r>
              <w:rPr>
                <w:sz w:val="18"/>
              </w:rPr>
              <w:t>二级指标</w:t>
            </w:r>
          </w:p>
        </w:tc>
        <w:tc>
          <w:tcPr>
            <w:tcW w:w="1322" w:type="dxa"/>
            <w:gridSpan w:val="2"/>
            <w:vAlign w:val="center"/>
          </w:tcPr>
          <w:p>
            <w:pPr>
              <w:pStyle w:val="9"/>
              <w:spacing w:before="2"/>
              <w:jc w:val="center"/>
              <w:rPr>
                <w:sz w:val="16"/>
              </w:rPr>
            </w:pPr>
          </w:p>
          <w:p>
            <w:pPr>
              <w:pStyle w:val="9"/>
              <w:ind w:left="18" w:leftChars="0" w:hanging="18" w:hangingChars="10"/>
              <w:jc w:val="center"/>
              <w:rPr>
                <w:sz w:val="18"/>
              </w:rPr>
            </w:pPr>
            <w:r>
              <w:rPr>
                <w:sz w:val="18"/>
              </w:rPr>
              <w:t>三级指标</w:t>
            </w:r>
          </w:p>
        </w:tc>
        <w:tc>
          <w:tcPr>
            <w:tcW w:w="1732" w:type="dxa"/>
            <w:gridSpan w:val="2"/>
            <w:vAlign w:val="center"/>
          </w:tcPr>
          <w:p>
            <w:pPr>
              <w:pStyle w:val="9"/>
              <w:spacing w:before="85" w:line="252" w:lineRule="auto"/>
              <w:ind w:left="161" w:right="139" w:firstLine="86"/>
              <w:jc w:val="center"/>
              <w:rPr>
                <w:sz w:val="18"/>
              </w:rPr>
            </w:pPr>
            <w:r>
              <w:rPr>
                <w:sz w:val="18"/>
              </w:rPr>
              <w:t>年度指标值</w:t>
            </w:r>
          </w:p>
        </w:tc>
        <w:tc>
          <w:tcPr>
            <w:tcW w:w="764" w:type="dxa"/>
            <w:vAlign w:val="center"/>
          </w:tcPr>
          <w:p>
            <w:pPr>
              <w:pStyle w:val="9"/>
              <w:spacing w:before="85" w:line="252" w:lineRule="auto"/>
              <w:ind w:left="160" w:right="139" w:firstLine="86"/>
              <w:jc w:val="center"/>
              <w:rPr>
                <w:sz w:val="18"/>
              </w:rPr>
            </w:pPr>
            <w:r>
              <w:rPr>
                <w:sz w:val="18"/>
              </w:rPr>
              <w:t>实际完成值</w:t>
            </w:r>
          </w:p>
        </w:tc>
        <w:tc>
          <w:tcPr>
            <w:tcW w:w="681" w:type="dxa"/>
            <w:gridSpan w:val="2"/>
            <w:vAlign w:val="center"/>
          </w:tcPr>
          <w:p>
            <w:pPr>
              <w:pStyle w:val="9"/>
              <w:spacing w:before="85" w:line="252" w:lineRule="auto"/>
              <w:ind w:left="198" w:right="177"/>
              <w:jc w:val="center"/>
              <w:rPr>
                <w:sz w:val="18"/>
              </w:rPr>
            </w:pPr>
            <w:r>
              <w:rPr>
                <w:sz w:val="18"/>
              </w:rPr>
              <w:t>分值</w:t>
            </w:r>
          </w:p>
        </w:tc>
        <w:tc>
          <w:tcPr>
            <w:tcW w:w="887" w:type="dxa"/>
            <w:gridSpan w:val="2"/>
            <w:vAlign w:val="center"/>
          </w:tcPr>
          <w:p>
            <w:pPr>
              <w:pStyle w:val="9"/>
              <w:spacing w:before="85" w:line="252" w:lineRule="auto"/>
              <w:ind w:left="197" w:right="178"/>
              <w:jc w:val="center"/>
              <w:rPr>
                <w:sz w:val="18"/>
              </w:rPr>
            </w:pPr>
            <w:r>
              <w:rPr>
                <w:sz w:val="18"/>
              </w:rPr>
              <w:t>得分</w:t>
            </w:r>
          </w:p>
        </w:tc>
        <w:tc>
          <w:tcPr>
            <w:tcW w:w="1063" w:type="dxa"/>
            <w:gridSpan w:val="2"/>
            <w:vAlign w:val="center"/>
          </w:tcPr>
          <w:p>
            <w:pPr>
              <w:pStyle w:val="9"/>
              <w:spacing w:before="85" w:line="252" w:lineRule="auto"/>
              <w:ind w:left="265" w:right="153" w:hanging="89"/>
              <w:jc w:val="center"/>
              <w:rPr>
                <w:sz w:val="18"/>
              </w:rPr>
            </w:pPr>
            <w:r>
              <w:rPr>
                <w:sz w:val="18"/>
              </w:rPr>
              <w:t>偏差原因分析及改进措施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589" w:type="dxa"/>
            <w:vMerge w:val="continue"/>
            <w:tcBorders>
              <w:top w:val="nil"/>
            </w:tcBorders>
          </w:tcPr>
          <w:p>
            <w:pPr>
              <w:rPr>
                <w:sz w:val="2"/>
                <w:szCs w:val="2"/>
              </w:rPr>
            </w:pPr>
          </w:p>
        </w:tc>
        <w:tc>
          <w:tcPr>
            <w:tcW w:w="982" w:type="dxa"/>
            <w:vMerge w:val="restart"/>
          </w:tcPr>
          <w:p>
            <w:pPr>
              <w:pStyle w:val="9"/>
              <w:spacing w:before="68"/>
              <w:ind w:left="117"/>
              <w:jc w:val="center"/>
              <w:rPr>
                <w:sz w:val="18"/>
              </w:rPr>
            </w:pPr>
          </w:p>
          <w:p>
            <w:pPr>
              <w:pStyle w:val="9"/>
              <w:spacing w:before="68"/>
              <w:ind w:left="117"/>
              <w:jc w:val="center"/>
              <w:rPr>
                <w:sz w:val="18"/>
              </w:rPr>
            </w:pPr>
          </w:p>
          <w:p>
            <w:pPr>
              <w:pStyle w:val="9"/>
              <w:spacing w:before="68"/>
              <w:ind w:left="117"/>
              <w:jc w:val="center"/>
              <w:rPr>
                <w:sz w:val="18"/>
              </w:rPr>
            </w:pPr>
          </w:p>
          <w:p>
            <w:pPr>
              <w:pStyle w:val="9"/>
              <w:spacing w:before="68"/>
              <w:ind w:left="117"/>
              <w:jc w:val="center"/>
              <w:rPr>
                <w:sz w:val="18"/>
              </w:rPr>
            </w:pPr>
          </w:p>
          <w:p>
            <w:pPr>
              <w:pStyle w:val="9"/>
              <w:spacing w:before="68"/>
              <w:ind w:left="117"/>
              <w:jc w:val="center"/>
              <w:rPr>
                <w:sz w:val="18"/>
              </w:rPr>
            </w:pPr>
            <w:r>
              <w:rPr>
                <w:sz w:val="18"/>
              </w:rPr>
              <w:t>产出指标50 分</w:t>
            </w:r>
          </w:p>
        </w:tc>
        <w:tc>
          <w:tcPr>
            <w:tcW w:w="1215" w:type="dxa"/>
            <w:vAlign w:val="center"/>
          </w:tcPr>
          <w:p>
            <w:pPr>
              <w:pStyle w:val="9"/>
              <w:spacing w:before="68"/>
              <w:ind w:left="117"/>
              <w:jc w:val="center"/>
              <w:rPr>
                <w:sz w:val="18"/>
              </w:rPr>
            </w:pPr>
            <w:r>
              <w:rPr>
                <w:sz w:val="18"/>
              </w:rPr>
              <w:t>数量指标</w:t>
            </w:r>
          </w:p>
        </w:tc>
        <w:tc>
          <w:tcPr>
            <w:tcW w:w="1322" w:type="dxa"/>
            <w:gridSpan w:val="2"/>
            <w:vAlign w:val="center"/>
          </w:tcPr>
          <w:p>
            <w:pPr>
              <w:pStyle w:val="9"/>
              <w:spacing w:before="68"/>
              <w:ind w:left="117"/>
              <w:jc w:val="center"/>
              <w:rPr>
                <w:rFonts w:hint="eastAsia"/>
                <w:sz w:val="18"/>
              </w:rPr>
            </w:pPr>
            <w:r>
              <w:rPr>
                <w:rFonts w:hint="eastAsia"/>
                <w:sz w:val="18"/>
              </w:rPr>
              <w:t>实际检测数量</w:t>
            </w:r>
          </w:p>
        </w:tc>
        <w:tc>
          <w:tcPr>
            <w:tcW w:w="1732" w:type="dxa"/>
            <w:gridSpan w:val="2"/>
            <w:vAlign w:val="center"/>
          </w:tcPr>
          <w:p>
            <w:pPr>
              <w:pStyle w:val="9"/>
              <w:spacing w:before="68"/>
              <w:ind w:left="117"/>
              <w:jc w:val="center"/>
              <w:rPr>
                <w:rFonts w:hint="eastAsia"/>
                <w:sz w:val="18"/>
              </w:rPr>
            </w:pPr>
            <w:r>
              <w:rPr>
                <w:rFonts w:hint="eastAsia"/>
                <w:sz w:val="18"/>
              </w:rPr>
              <w:t>上级下达检测数量</w:t>
            </w:r>
          </w:p>
        </w:tc>
        <w:tc>
          <w:tcPr>
            <w:tcW w:w="764" w:type="dxa"/>
            <w:vAlign w:val="center"/>
          </w:tcPr>
          <w:p>
            <w:pPr>
              <w:pStyle w:val="9"/>
              <w:ind w:right="206"/>
              <w:jc w:val="center"/>
              <w:rPr>
                <w:rFonts w:hint="eastAsia" w:ascii="宋体" w:hAnsi="宋体" w:eastAsia="宋体" w:cs="宋体"/>
                <w:kern w:val="2"/>
                <w:sz w:val="18"/>
                <w:szCs w:val="22"/>
                <w:lang w:val="en-US" w:eastAsia="zh-CN" w:bidi="zh-CN"/>
              </w:rPr>
            </w:pPr>
          </w:p>
          <w:p>
            <w:pPr>
              <w:pStyle w:val="9"/>
              <w:ind w:right="206"/>
              <w:jc w:val="center"/>
              <w:rPr>
                <w:rFonts w:hint="eastAsia"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8</w:t>
            </w:r>
          </w:p>
        </w:tc>
        <w:tc>
          <w:tcPr>
            <w:tcW w:w="681" w:type="dxa"/>
            <w:gridSpan w:val="2"/>
            <w:vAlign w:val="center"/>
          </w:tcPr>
          <w:p>
            <w:pPr>
              <w:pStyle w:val="9"/>
              <w:ind w:right="206"/>
              <w:jc w:val="center"/>
              <w:rPr>
                <w:rFonts w:hint="eastAsia" w:ascii="宋体" w:hAnsi="宋体" w:eastAsia="宋体" w:cs="宋体"/>
                <w:kern w:val="2"/>
                <w:sz w:val="18"/>
                <w:szCs w:val="22"/>
                <w:lang w:val="en-US" w:eastAsia="zh-CN" w:bidi="zh-CN"/>
              </w:rPr>
            </w:pPr>
          </w:p>
          <w:p>
            <w:pPr>
              <w:pStyle w:val="9"/>
              <w:ind w:right="206"/>
              <w:jc w:val="center"/>
              <w:rPr>
                <w:rFonts w:hint="eastAsia"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15</w:t>
            </w:r>
          </w:p>
        </w:tc>
        <w:tc>
          <w:tcPr>
            <w:tcW w:w="887" w:type="dxa"/>
            <w:gridSpan w:val="2"/>
            <w:vAlign w:val="center"/>
          </w:tcPr>
          <w:p>
            <w:pPr>
              <w:pStyle w:val="9"/>
              <w:ind w:right="206"/>
              <w:jc w:val="center"/>
              <w:rPr>
                <w:rFonts w:hint="eastAsia" w:ascii="宋体" w:hAnsi="宋体" w:eastAsia="宋体" w:cs="宋体"/>
                <w:kern w:val="2"/>
                <w:sz w:val="18"/>
                <w:szCs w:val="22"/>
                <w:lang w:val="en-US" w:eastAsia="zh-CN" w:bidi="zh-CN"/>
              </w:rPr>
            </w:pPr>
          </w:p>
          <w:p>
            <w:pPr>
              <w:pStyle w:val="9"/>
              <w:ind w:right="206"/>
              <w:jc w:val="center"/>
              <w:rPr>
                <w:rFonts w:hint="eastAsia"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15</w:t>
            </w:r>
          </w:p>
        </w:tc>
        <w:tc>
          <w:tcPr>
            <w:tcW w:w="1063" w:type="dxa"/>
            <w:gridSpan w:val="2"/>
            <w:vAlign w:val="center"/>
          </w:tcPr>
          <w:p>
            <w:pPr>
              <w:pStyle w:val="9"/>
              <w:ind w:right="206"/>
              <w:jc w:val="center"/>
              <w:rPr>
                <w:rFonts w:hint="eastAsia" w:ascii="宋体" w:hAnsi="宋体" w:eastAsia="宋体" w:cs="宋体"/>
                <w:kern w:val="2"/>
                <w:sz w:val="18"/>
                <w:szCs w:val="22"/>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589" w:type="dxa"/>
            <w:vMerge w:val="continue"/>
            <w:tcBorders>
              <w:top w:val="nil"/>
            </w:tcBorders>
          </w:tcPr>
          <w:p>
            <w:pPr>
              <w:rPr>
                <w:sz w:val="2"/>
                <w:szCs w:val="2"/>
              </w:rPr>
            </w:pPr>
          </w:p>
        </w:tc>
        <w:tc>
          <w:tcPr>
            <w:tcW w:w="982" w:type="dxa"/>
            <w:vMerge w:val="continue"/>
            <w:tcBorders>
              <w:top w:val="nil"/>
            </w:tcBorders>
          </w:tcPr>
          <w:p>
            <w:pPr>
              <w:jc w:val="center"/>
              <w:rPr>
                <w:rFonts w:ascii="宋体" w:hAnsi="宋体" w:eastAsia="宋体" w:cs="宋体"/>
                <w:kern w:val="2"/>
                <w:sz w:val="18"/>
                <w:szCs w:val="22"/>
                <w:lang w:val="zh-CN" w:eastAsia="zh-CN" w:bidi="zh-CN"/>
              </w:rPr>
            </w:pPr>
          </w:p>
        </w:tc>
        <w:tc>
          <w:tcPr>
            <w:tcW w:w="1215" w:type="dxa"/>
            <w:vAlign w:val="center"/>
          </w:tcPr>
          <w:p>
            <w:pPr>
              <w:pStyle w:val="9"/>
              <w:spacing w:before="8"/>
              <w:jc w:val="center"/>
              <w:rPr>
                <w:rFonts w:ascii="宋体" w:hAnsi="宋体" w:eastAsia="宋体" w:cs="宋体"/>
                <w:kern w:val="2"/>
                <w:sz w:val="18"/>
                <w:szCs w:val="22"/>
                <w:lang w:val="zh-CN" w:eastAsia="zh-CN" w:bidi="zh-CN"/>
              </w:rPr>
            </w:pPr>
          </w:p>
          <w:p>
            <w:pPr>
              <w:pStyle w:val="9"/>
              <w:ind w:left="201"/>
              <w:jc w:val="center"/>
              <w:rPr>
                <w:rFonts w:ascii="宋体" w:hAnsi="宋体" w:eastAsia="宋体" w:cs="宋体"/>
                <w:kern w:val="2"/>
                <w:sz w:val="18"/>
                <w:szCs w:val="22"/>
                <w:lang w:val="zh-CN" w:eastAsia="zh-CN" w:bidi="zh-CN"/>
              </w:rPr>
            </w:pPr>
            <w:r>
              <w:rPr>
                <w:rFonts w:ascii="宋体" w:hAnsi="宋体" w:eastAsia="宋体" w:cs="宋体"/>
                <w:kern w:val="2"/>
                <w:sz w:val="18"/>
                <w:szCs w:val="22"/>
                <w:lang w:val="zh-CN" w:eastAsia="zh-CN" w:bidi="zh-CN"/>
              </w:rPr>
              <w:t>质量指标</w:t>
            </w:r>
          </w:p>
        </w:tc>
        <w:tc>
          <w:tcPr>
            <w:tcW w:w="1322" w:type="dxa"/>
            <w:gridSpan w:val="2"/>
            <w:vAlign w:val="center"/>
          </w:tcPr>
          <w:p>
            <w:pPr>
              <w:pStyle w:val="9"/>
              <w:spacing w:before="119" w:line="266" w:lineRule="auto"/>
              <w:ind w:left="112" w:right="49"/>
              <w:jc w:val="center"/>
              <w:rPr>
                <w:rFonts w:hint="eastAsia" w:ascii="宋体" w:hAnsi="宋体" w:eastAsia="宋体" w:cs="宋体"/>
                <w:kern w:val="2"/>
                <w:sz w:val="18"/>
                <w:szCs w:val="22"/>
                <w:lang w:val="zh-CN" w:eastAsia="zh-CN" w:bidi="zh-CN"/>
              </w:rPr>
            </w:pPr>
            <w:r>
              <w:rPr>
                <w:rFonts w:hint="eastAsia" w:ascii="宋体" w:hAnsi="宋体" w:eastAsia="宋体" w:cs="宋体"/>
                <w:kern w:val="2"/>
                <w:sz w:val="18"/>
                <w:szCs w:val="22"/>
                <w:lang w:val="zh-CN" w:eastAsia="zh-CN" w:bidi="zh-CN"/>
              </w:rPr>
              <w:t>检验准确率</w:t>
            </w:r>
          </w:p>
        </w:tc>
        <w:tc>
          <w:tcPr>
            <w:tcW w:w="1732" w:type="dxa"/>
            <w:gridSpan w:val="2"/>
            <w:vAlign w:val="center"/>
          </w:tcPr>
          <w:p>
            <w:pPr>
              <w:pStyle w:val="9"/>
              <w:ind w:left="71" w:right="54"/>
              <w:jc w:val="center"/>
              <w:rPr>
                <w:rFonts w:hint="eastAsia" w:ascii="宋体" w:hAnsi="宋体" w:eastAsia="宋体" w:cs="宋体"/>
                <w:kern w:val="2"/>
                <w:sz w:val="18"/>
                <w:szCs w:val="22"/>
                <w:lang w:val="zh-CN" w:eastAsia="zh-CN" w:bidi="zh-CN"/>
              </w:rPr>
            </w:pPr>
            <w:r>
              <w:rPr>
                <w:rFonts w:hint="eastAsia" w:ascii="宋体" w:hAnsi="宋体" w:eastAsia="宋体" w:cs="宋体"/>
                <w:kern w:val="2"/>
                <w:sz w:val="18"/>
                <w:szCs w:val="22"/>
                <w:lang w:val="zh-CN" w:eastAsia="zh-CN" w:bidi="zh-CN"/>
              </w:rPr>
              <w:t>≥98百分比</w:t>
            </w:r>
          </w:p>
        </w:tc>
        <w:tc>
          <w:tcPr>
            <w:tcW w:w="764" w:type="dxa"/>
            <w:vAlign w:val="center"/>
          </w:tcPr>
          <w:p>
            <w:pPr>
              <w:pStyle w:val="9"/>
              <w:ind w:right="206"/>
              <w:jc w:val="center"/>
              <w:rPr>
                <w:rFonts w:hint="default"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100</w:t>
            </w:r>
          </w:p>
        </w:tc>
        <w:tc>
          <w:tcPr>
            <w:tcW w:w="681" w:type="dxa"/>
            <w:gridSpan w:val="2"/>
            <w:vAlign w:val="center"/>
          </w:tcPr>
          <w:p>
            <w:pPr>
              <w:pStyle w:val="9"/>
              <w:ind w:right="206"/>
              <w:jc w:val="center"/>
              <w:rPr>
                <w:rFonts w:hint="default"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15</w:t>
            </w:r>
          </w:p>
        </w:tc>
        <w:tc>
          <w:tcPr>
            <w:tcW w:w="887" w:type="dxa"/>
            <w:gridSpan w:val="2"/>
            <w:vAlign w:val="center"/>
          </w:tcPr>
          <w:p>
            <w:pPr>
              <w:pStyle w:val="9"/>
              <w:ind w:right="206"/>
              <w:jc w:val="center"/>
              <w:rPr>
                <w:rFonts w:hint="default"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15</w:t>
            </w:r>
          </w:p>
        </w:tc>
        <w:tc>
          <w:tcPr>
            <w:tcW w:w="1063" w:type="dxa"/>
            <w:gridSpan w:val="2"/>
            <w:vAlign w:val="center"/>
          </w:tcPr>
          <w:p>
            <w:pPr>
              <w:pStyle w:val="9"/>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trPr>
        <w:tc>
          <w:tcPr>
            <w:tcW w:w="589" w:type="dxa"/>
            <w:vMerge w:val="continue"/>
            <w:tcBorders>
              <w:top w:val="nil"/>
            </w:tcBorders>
          </w:tcPr>
          <w:p>
            <w:pPr>
              <w:rPr>
                <w:sz w:val="2"/>
                <w:szCs w:val="2"/>
              </w:rPr>
            </w:pPr>
          </w:p>
        </w:tc>
        <w:tc>
          <w:tcPr>
            <w:tcW w:w="982" w:type="dxa"/>
            <w:vMerge w:val="continue"/>
            <w:tcBorders>
              <w:top w:val="nil"/>
            </w:tcBorders>
          </w:tcPr>
          <w:p>
            <w:pPr>
              <w:jc w:val="center"/>
              <w:rPr>
                <w:rFonts w:ascii="宋体" w:hAnsi="宋体" w:eastAsia="宋体" w:cs="宋体"/>
                <w:kern w:val="2"/>
                <w:sz w:val="18"/>
                <w:szCs w:val="22"/>
                <w:lang w:val="zh-CN" w:eastAsia="zh-CN" w:bidi="zh-CN"/>
              </w:rPr>
            </w:pPr>
          </w:p>
        </w:tc>
        <w:tc>
          <w:tcPr>
            <w:tcW w:w="1215" w:type="dxa"/>
            <w:vAlign w:val="center"/>
          </w:tcPr>
          <w:p>
            <w:pPr>
              <w:pStyle w:val="9"/>
              <w:spacing w:before="4"/>
              <w:jc w:val="center"/>
              <w:rPr>
                <w:rFonts w:ascii="宋体" w:hAnsi="宋体" w:eastAsia="宋体" w:cs="宋体"/>
                <w:kern w:val="2"/>
                <w:sz w:val="18"/>
                <w:szCs w:val="22"/>
                <w:lang w:val="zh-CN" w:eastAsia="zh-CN" w:bidi="zh-CN"/>
              </w:rPr>
            </w:pPr>
          </w:p>
          <w:p>
            <w:pPr>
              <w:pStyle w:val="9"/>
              <w:ind w:left="201"/>
              <w:jc w:val="center"/>
              <w:rPr>
                <w:rFonts w:ascii="宋体" w:hAnsi="宋体" w:eastAsia="宋体" w:cs="宋体"/>
                <w:kern w:val="2"/>
                <w:sz w:val="18"/>
                <w:szCs w:val="22"/>
                <w:lang w:val="zh-CN" w:eastAsia="zh-CN" w:bidi="zh-CN"/>
              </w:rPr>
            </w:pPr>
            <w:r>
              <w:rPr>
                <w:rFonts w:ascii="宋体" w:hAnsi="宋体" w:eastAsia="宋体" w:cs="宋体"/>
                <w:kern w:val="2"/>
                <w:sz w:val="18"/>
                <w:szCs w:val="22"/>
                <w:lang w:val="zh-CN" w:eastAsia="zh-CN" w:bidi="zh-CN"/>
              </w:rPr>
              <w:t>时效指标</w:t>
            </w:r>
          </w:p>
        </w:tc>
        <w:tc>
          <w:tcPr>
            <w:tcW w:w="1322" w:type="dxa"/>
            <w:gridSpan w:val="2"/>
            <w:vAlign w:val="center"/>
          </w:tcPr>
          <w:p>
            <w:pPr>
              <w:pStyle w:val="9"/>
              <w:spacing w:before="119" w:line="266" w:lineRule="auto"/>
              <w:ind w:left="112" w:right="49"/>
              <w:jc w:val="center"/>
              <w:rPr>
                <w:rFonts w:hint="eastAsia" w:ascii="宋体" w:hAnsi="宋体" w:eastAsia="宋体" w:cs="宋体"/>
                <w:kern w:val="2"/>
                <w:sz w:val="18"/>
                <w:szCs w:val="22"/>
                <w:lang w:val="zh-CN" w:eastAsia="zh-CN" w:bidi="zh-CN"/>
              </w:rPr>
            </w:pPr>
            <w:r>
              <w:rPr>
                <w:rFonts w:hint="eastAsia" w:ascii="宋体" w:hAnsi="宋体" w:eastAsia="宋体" w:cs="宋体"/>
                <w:kern w:val="2"/>
                <w:sz w:val="18"/>
                <w:szCs w:val="22"/>
                <w:lang w:val="zh-CN" w:eastAsia="zh-CN" w:bidi="zh-CN"/>
              </w:rPr>
              <w:t>检测及时率</w:t>
            </w:r>
          </w:p>
        </w:tc>
        <w:tc>
          <w:tcPr>
            <w:tcW w:w="1732" w:type="dxa"/>
            <w:gridSpan w:val="2"/>
            <w:vAlign w:val="center"/>
          </w:tcPr>
          <w:p>
            <w:pPr>
              <w:pStyle w:val="9"/>
              <w:spacing w:before="62" w:line="213" w:lineRule="auto"/>
              <w:ind w:left="324" w:right="200" w:hanging="106"/>
              <w:jc w:val="center"/>
              <w:rPr>
                <w:rFonts w:hint="eastAsia" w:ascii="宋体" w:hAnsi="宋体" w:eastAsia="宋体" w:cs="宋体"/>
                <w:kern w:val="2"/>
                <w:sz w:val="18"/>
                <w:szCs w:val="22"/>
                <w:lang w:val="zh-CN" w:eastAsia="zh-CN" w:bidi="zh-CN"/>
              </w:rPr>
            </w:pPr>
            <w:r>
              <w:rPr>
                <w:rFonts w:hint="eastAsia" w:ascii="宋体" w:hAnsi="宋体" w:eastAsia="宋体" w:cs="宋体"/>
                <w:kern w:val="2"/>
                <w:sz w:val="18"/>
                <w:szCs w:val="22"/>
                <w:lang w:val="zh-CN" w:eastAsia="zh-CN" w:bidi="zh-CN"/>
              </w:rPr>
              <w:t>≥98百分比</w:t>
            </w:r>
          </w:p>
        </w:tc>
        <w:tc>
          <w:tcPr>
            <w:tcW w:w="764" w:type="dxa"/>
            <w:vAlign w:val="center"/>
          </w:tcPr>
          <w:p>
            <w:pPr>
              <w:pStyle w:val="9"/>
              <w:ind w:right="206"/>
              <w:jc w:val="center"/>
              <w:rPr>
                <w:rFonts w:hint="default"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100</w:t>
            </w:r>
          </w:p>
        </w:tc>
        <w:tc>
          <w:tcPr>
            <w:tcW w:w="681" w:type="dxa"/>
            <w:gridSpan w:val="2"/>
            <w:vAlign w:val="center"/>
          </w:tcPr>
          <w:p>
            <w:pPr>
              <w:pStyle w:val="9"/>
              <w:ind w:right="206"/>
              <w:jc w:val="center"/>
              <w:rPr>
                <w:rFonts w:hint="default"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10</w:t>
            </w:r>
          </w:p>
        </w:tc>
        <w:tc>
          <w:tcPr>
            <w:tcW w:w="887" w:type="dxa"/>
            <w:gridSpan w:val="2"/>
            <w:vAlign w:val="center"/>
          </w:tcPr>
          <w:p>
            <w:pPr>
              <w:pStyle w:val="9"/>
              <w:ind w:right="206"/>
              <w:jc w:val="center"/>
              <w:rPr>
                <w:rFonts w:hint="default"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10</w:t>
            </w:r>
          </w:p>
        </w:tc>
        <w:tc>
          <w:tcPr>
            <w:tcW w:w="1063" w:type="dxa"/>
            <w:gridSpan w:val="2"/>
            <w:vAlign w:val="center"/>
          </w:tcPr>
          <w:p>
            <w:pPr>
              <w:pStyle w:val="9"/>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89" w:type="dxa"/>
            <w:vMerge w:val="continue"/>
            <w:tcBorders>
              <w:top w:val="nil"/>
            </w:tcBorders>
          </w:tcPr>
          <w:p>
            <w:pPr>
              <w:rPr>
                <w:sz w:val="2"/>
                <w:szCs w:val="2"/>
              </w:rPr>
            </w:pPr>
          </w:p>
        </w:tc>
        <w:tc>
          <w:tcPr>
            <w:tcW w:w="982" w:type="dxa"/>
            <w:vMerge w:val="continue"/>
            <w:tcBorders>
              <w:top w:val="nil"/>
            </w:tcBorders>
          </w:tcPr>
          <w:p>
            <w:pPr>
              <w:jc w:val="center"/>
              <w:rPr>
                <w:rFonts w:ascii="宋体" w:hAnsi="宋体" w:eastAsia="宋体" w:cs="宋体"/>
                <w:kern w:val="2"/>
                <w:sz w:val="18"/>
                <w:szCs w:val="22"/>
                <w:lang w:val="zh-CN" w:eastAsia="zh-CN" w:bidi="zh-CN"/>
              </w:rPr>
            </w:pPr>
          </w:p>
        </w:tc>
        <w:tc>
          <w:tcPr>
            <w:tcW w:w="1215" w:type="dxa"/>
            <w:vAlign w:val="center"/>
          </w:tcPr>
          <w:p>
            <w:pPr>
              <w:pStyle w:val="9"/>
              <w:spacing w:before="67"/>
              <w:ind w:left="201"/>
              <w:jc w:val="center"/>
              <w:rPr>
                <w:rFonts w:ascii="宋体" w:hAnsi="宋体" w:eastAsia="宋体" w:cs="宋体"/>
                <w:kern w:val="2"/>
                <w:sz w:val="18"/>
                <w:szCs w:val="22"/>
                <w:lang w:val="zh-CN" w:eastAsia="zh-CN" w:bidi="zh-CN"/>
              </w:rPr>
            </w:pPr>
            <w:r>
              <w:rPr>
                <w:rFonts w:ascii="宋体" w:hAnsi="宋体" w:eastAsia="宋体" w:cs="宋体"/>
                <w:kern w:val="2"/>
                <w:sz w:val="18"/>
                <w:szCs w:val="22"/>
                <w:lang w:val="zh-CN" w:eastAsia="zh-CN" w:bidi="zh-CN"/>
              </w:rPr>
              <w:t>成本指标</w:t>
            </w:r>
          </w:p>
        </w:tc>
        <w:tc>
          <w:tcPr>
            <w:tcW w:w="1322" w:type="dxa"/>
            <w:gridSpan w:val="2"/>
            <w:vAlign w:val="center"/>
          </w:tcPr>
          <w:p>
            <w:pPr>
              <w:pStyle w:val="9"/>
              <w:spacing w:before="119" w:line="266" w:lineRule="auto"/>
              <w:ind w:left="112" w:right="49"/>
              <w:jc w:val="center"/>
              <w:rPr>
                <w:rFonts w:hint="eastAsia" w:ascii="宋体" w:hAnsi="宋体" w:eastAsia="宋体" w:cs="宋体"/>
                <w:kern w:val="2"/>
                <w:sz w:val="18"/>
                <w:szCs w:val="22"/>
                <w:lang w:val="zh-CN" w:eastAsia="zh-CN" w:bidi="zh-CN"/>
              </w:rPr>
            </w:pPr>
            <w:r>
              <w:rPr>
                <w:rFonts w:hint="eastAsia" w:ascii="宋体" w:hAnsi="宋体" w:eastAsia="宋体" w:cs="宋体"/>
                <w:kern w:val="2"/>
                <w:sz w:val="18"/>
                <w:szCs w:val="22"/>
                <w:lang w:val="zh-CN" w:eastAsia="zh-CN" w:bidi="zh-CN"/>
              </w:rPr>
              <w:t>粮食检验经费</w:t>
            </w:r>
          </w:p>
        </w:tc>
        <w:tc>
          <w:tcPr>
            <w:tcW w:w="1732" w:type="dxa"/>
            <w:gridSpan w:val="2"/>
            <w:vAlign w:val="center"/>
          </w:tcPr>
          <w:p>
            <w:pPr>
              <w:pStyle w:val="9"/>
              <w:spacing w:before="35"/>
              <w:ind w:left="71" w:right="54"/>
              <w:jc w:val="center"/>
              <w:rPr>
                <w:rFonts w:hint="eastAsia" w:ascii="宋体" w:hAnsi="宋体" w:eastAsia="宋体" w:cs="宋体"/>
                <w:kern w:val="2"/>
                <w:sz w:val="18"/>
                <w:szCs w:val="22"/>
                <w:lang w:val="zh-CN" w:eastAsia="zh-CN" w:bidi="zh-CN"/>
              </w:rPr>
            </w:pPr>
            <w:r>
              <w:rPr>
                <w:rFonts w:hint="eastAsia" w:ascii="宋体" w:hAnsi="宋体" w:eastAsia="宋体" w:cs="宋体"/>
                <w:kern w:val="2"/>
                <w:sz w:val="18"/>
                <w:szCs w:val="22"/>
                <w:lang w:val="zh-CN" w:eastAsia="zh-CN" w:bidi="zh-CN"/>
              </w:rPr>
              <w:t>≤5万元</w:t>
            </w:r>
          </w:p>
        </w:tc>
        <w:tc>
          <w:tcPr>
            <w:tcW w:w="764" w:type="dxa"/>
            <w:vAlign w:val="center"/>
          </w:tcPr>
          <w:p>
            <w:pPr>
              <w:pStyle w:val="9"/>
              <w:ind w:right="206"/>
              <w:jc w:val="center"/>
              <w:rPr>
                <w:rFonts w:hint="eastAsia"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5</w:t>
            </w:r>
          </w:p>
        </w:tc>
        <w:tc>
          <w:tcPr>
            <w:tcW w:w="681" w:type="dxa"/>
            <w:gridSpan w:val="2"/>
            <w:vAlign w:val="center"/>
          </w:tcPr>
          <w:p>
            <w:pPr>
              <w:pStyle w:val="9"/>
              <w:ind w:right="206"/>
              <w:jc w:val="center"/>
              <w:rPr>
                <w:rFonts w:hint="default"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10</w:t>
            </w:r>
          </w:p>
        </w:tc>
        <w:tc>
          <w:tcPr>
            <w:tcW w:w="887" w:type="dxa"/>
            <w:gridSpan w:val="2"/>
            <w:vAlign w:val="center"/>
          </w:tcPr>
          <w:p>
            <w:pPr>
              <w:pStyle w:val="9"/>
              <w:ind w:right="206"/>
              <w:jc w:val="center"/>
              <w:rPr>
                <w:rFonts w:hint="default"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10</w:t>
            </w:r>
          </w:p>
        </w:tc>
        <w:tc>
          <w:tcPr>
            <w:tcW w:w="1063" w:type="dxa"/>
            <w:gridSpan w:val="2"/>
            <w:vAlign w:val="center"/>
          </w:tcPr>
          <w:p>
            <w:pPr>
              <w:pStyle w:val="9"/>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589" w:type="dxa"/>
            <w:vMerge w:val="continue"/>
            <w:tcBorders>
              <w:top w:val="nil"/>
            </w:tcBorders>
          </w:tcPr>
          <w:p>
            <w:pPr>
              <w:rPr>
                <w:sz w:val="2"/>
                <w:szCs w:val="2"/>
              </w:rPr>
            </w:pPr>
          </w:p>
        </w:tc>
        <w:tc>
          <w:tcPr>
            <w:tcW w:w="982" w:type="dxa"/>
            <w:vMerge w:val="restart"/>
          </w:tcPr>
          <w:p>
            <w:pPr>
              <w:pStyle w:val="9"/>
              <w:spacing w:before="68"/>
              <w:ind w:left="117"/>
              <w:jc w:val="center"/>
              <w:rPr>
                <w:rFonts w:ascii="宋体" w:hAnsi="宋体" w:eastAsia="宋体" w:cs="宋体"/>
                <w:kern w:val="2"/>
                <w:sz w:val="18"/>
                <w:szCs w:val="22"/>
                <w:lang w:val="zh-CN" w:eastAsia="zh-CN" w:bidi="zh-CN"/>
              </w:rPr>
            </w:pPr>
          </w:p>
          <w:p>
            <w:pPr>
              <w:pStyle w:val="9"/>
              <w:spacing w:before="68"/>
              <w:ind w:left="117"/>
              <w:jc w:val="center"/>
              <w:rPr>
                <w:rFonts w:ascii="宋体" w:hAnsi="宋体" w:eastAsia="宋体" w:cs="宋体"/>
                <w:kern w:val="2"/>
                <w:sz w:val="18"/>
                <w:szCs w:val="22"/>
                <w:lang w:val="zh-CN" w:eastAsia="zh-CN" w:bidi="zh-CN"/>
              </w:rPr>
            </w:pPr>
          </w:p>
          <w:p>
            <w:pPr>
              <w:pStyle w:val="9"/>
              <w:spacing w:before="68"/>
              <w:ind w:left="117"/>
              <w:jc w:val="center"/>
              <w:rPr>
                <w:rFonts w:ascii="宋体" w:hAnsi="宋体" w:eastAsia="宋体" w:cs="宋体"/>
                <w:kern w:val="2"/>
                <w:sz w:val="18"/>
                <w:szCs w:val="22"/>
                <w:lang w:val="zh-CN" w:eastAsia="zh-CN" w:bidi="zh-CN"/>
              </w:rPr>
            </w:pPr>
          </w:p>
          <w:p>
            <w:pPr>
              <w:pStyle w:val="9"/>
              <w:spacing w:before="68"/>
              <w:ind w:left="117"/>
              <w:jc w:val="center"/>
              <w:rPr>
                <w:rFonts w:ascii="宋体" w:hAnsi="宋体" w:eastAsia="宋体" w:cs="宋体"/>
                <w:kern w:val="2"/>
                <w:sz w:val="18"/>
                <w:szCs w:val="22"/>
                <w:lang w:val="zh-CN" w:eastAsia="zh-CN" w:bidi="zh-CN"/>
              </w:rPr>
            </w:pPr>
          </w:p>
          <w:p>
            <w:pPr>
              <w:pStyle w:val="9"/>
              <w:spacing w:before="68"/>
              <w:ind w:left="117"/>
              <w:jc w:val="center"/>
              <w:rPr>
                <w:rFonts w:ascii="宋体" w:hAnsi="宋体" w:eastAsia="宋体" w:cs="宋体"/>
                <w:kern w:val="2"/>
                <w:sz w:val="18"/>
                <w:szCs w:val="22"/>
                <w:lang w:val="zh-CN" w:eastAsia="zh-CN" w:bidi="zh-CN"/>
              </w:rPr>
            </w:pPr>
            <w:r>
              <w:rPr>
                <w:rFonts w:ascii="宋体" w:hAnsi="宋体" w:eastAsia="宋体" w:cs="宋体"/>
                <w:kern w:val="2"/>
                <w:sz w:val="18"/>
                <w:szCs w:val="22"/>
                <w:lang w:val="zh-CN" w:eastAsia="zh-CN" w:bidi="zh-CN"/>
              </w:rPr>
              <w:t>效益指标30 分</w:t>
            </w:r>
          </w:p>
        </w:tc>
        <w:tc>
          <w:tcPr>
            <w:tcW w:w="1215" w:type="dxa"/>
            <w:vAlign w:val="center"/>
          </w:tcPr>
          <w:p>
            <w:pPr>
              <w:pStyle w:val="9"/>
              <w:spacing w:before="68"/>
              <w:ind w:left="117"/>
              <w:jc w:val="center"/>
              <w:rPr>
                <w:rFonts w:ascii="宋体" w:hAnsi="宋体" w:eastAsia="宋体" w:cs="宋体"/>
                <w:kern w:val="2"/>
                <w:sz w:val="18"/>
                <w:szCs w:val="22"/>
                <w:lang w:val="zh-CN" w:eastAsia="zh-CN" w:bidi="zh-CN"/>
              </w:rPr>
            </w:pPr>
            <w:r>
              <w:rPr>
                <w:rFonts w:ascii="宋体" w:hAnsi="宋体" w:eastAsia="宋体" w:cs="宋体"/>
                <w:kern w:val="2"/>
                <w:sz w:val="18"/>
                <w:szCs w:val="22"/>
                <w:lang w:val="zh-CN" w:eastAsia="zh-CN" w:bidi="zh-CN"/>
              </w:rPr>
              <w:t>经济效益指标</w:t>
            </w:r>
          </w:p>
        </w:tc>
        <w:tc>
          <w:tcPr>
            <w:tcW w:w="1322" w:type="dxa"/>
            <w:gridSpan w:val="2"/>
            <w:vAlign w:val="center"/>
          </w:tcPr>
          <w:p>
            <w:pPr>
              <w:pStyle w:val="9"/>
              <w:spacing w:before="68"/>
              <w:ind w:left="117"/>
              <w:jc w:val="center"/>
              <w:rPr>
                <w:rFonts w:hint="eastAsia" w:ascii="宋体" w:hAnsi="宋体" w:eastAsia="宋体" w:cs="宋体"/>
                <w:kern w:val="2"/>
                <w:sz w:val="18"/>
                <w:szCs w:val="22"/>
                <w:lang w:val="zh-CN" w:eastAsia="zh-CN" w:bidi="zh-CN"/>
              </w:rPr>
            </w:pPr>
            <w:r>
              <w:rPr>
                <w:rFonts w:hint="eastAsia" w:ascii="宋体" w:hAnsi="宋体" w:eastAsia="宋体" w:cs="宋体"/>
                <w:kern w:val="2"/>
                <w:sz w:val="18"/>
                <w:szCs w:val="22"/>
                <w:lang w:val="zh-CN" w:eastAsia="zh-CN" w:bidi="zh-CN"/>
              </w:rPr>
              <w:t>本项目不涉及经济效益指标</w:t>
            </w:r>
          </w:p>
        </w:tc>
        <w:tc>
          <w:tcPr>
            <w:tcW w:w="1732" w:type="dxa"/>
            <w:gridSpan w:val="2"/>
            <w:vAlign w:val="center"/>
          </w:tcPr>
          <w:p>
            <w:pPr>
              <w:pStyle w:val="9"/>
              <w:spacing w:before="68"/>
              <w:ind w:left="117"/>
              <w:jc w:val="center"/>
              <w:rPr>
                <w:rFonts w:hint="eastAsia" w:ascii="宋体" w:hAnsi="宋体" w:eastAsia="宋体" w:cs="宋体"/>
                <w:kern w:val="2"/>
                <w:sz w:val="18"/>
                <w:szCs w:val="22"/>
                <w:lang w:val="zh-CN" w:eastAsia="zh-CN" w:bidi="zh-CN"/>
              </w:rPr>
            </w:pPr>
            <w:r>
              <w:rPr>
                <w:rFonts w:hint="eastAsia" w:ascii="宋体" w:hAnsi="宋体" w:eastAsia="宋体" w:cs="宋体"/>
                <w:kern w:val="2"/>
                <w:sz w:val="18"/>
                <w:szCs w:val="22"/>
                <w:lang w:val="zh-CN" w:eastAsia="zh-CN" w:bidi="zh-CN"/>
              </w:rPr>
              <w:t>本项目不涉及经济效益指标</w:t>
            </w:r>
          </w:p>
        </w:tc>
        <w:tc>
          <w:tcPr>
            <w:tcW w:w="764" w:type="dxa"/>
            <w:vAlign w:val="center"/>
          </w:tcPr>
          <w:p>
            <w:pPr>
              <w:pStyle w:val="9"/>
              <w:ind w:right="206"/>
              <w:jc w:val="center"/>
              <w:rPr>
                <w:rFonts w:hint="eastAsia"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0</w:t>
            </w:r>
          </w:p>
        </w:tc>
        <w:tc>
          <w:tcPr>
            <w:tcW w:w="681" w:type="dxa"/>
            <w:gridSpan w:val="2"/>
            <w:vAlign w:val="center"/>
          </w:tcPr>
          <w:p>
            <w:pPr>
              <w:pStyle w:val="9"/>
              <w:ind w:right="206"/>
              <w:jc w:val="center"/>
              <w:rPr>
                <w:rFonts w:hint="eastAsia"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0</w:t>
            </w:r>
          </w:p>
        </w:tc>
        <w:tc>
          <w:tcPr>
            <w:tcW w:w="887" w:type="dxa"/>
            <w:gridSpan w:val="2"/>
            <w:vAlign w:val="center"/>
          </w:tcPr>
          <w:p>
            <w:pPr>
              <w:pStyle w:val="9"/>
              <w:ind w:right="206"/>
              <w:jc w:val="center"/>
              <w:rPr>
                <w:rFonts w:hint="eastAsia"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0</w:t>
            </w:r>
          </w:p>
        </w:tc>
        <w:tc>
          <w:tcPr>
            <w:tcW w:w="1063" w:type="dxa"/>
            <w:gridSpan w:val="2"/>
            <w:vAlign w:val="center"/>
          </w:tcPr>
          <w:p>
            <w:pPr>
              <w:pStyle w:val="9"/>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589" w:type="dxa"/>
            <w:vMerge w:val="continue"/>
            <w:tcBorders>
              <w:top w:val="nil"/>
            </w:tcBorders>
          </w:tcPr>
          <w:p>
            <w:pPr>
              <w:rPr>
                <w:sz w:val="2"/>
                <w:szCs w:val="2"/>
              </w:rPr>
            </w:pPr>
          </w:p>
        </w:tc>
        <w:tc>
          <w:tcPr>
            <w:tcW w:w="982" w:type="dxa"/>
            <w:vMerge w:val="continue"/>
            <w:tcBorders>
              <w:top w:val="nil"/>
            </w:tcBorders>
          </w:tcPr>
          <w:p>
            <w:pPr>
              <w:jc w:val="center"/>
              <w:rPr>
                <w:rFonts w:ascii="宋体" w:hAnsi="宋体" w:eastAsia="宋体" w:cs="宋体"/>
                <w:kern w:val="2"/>
                <w:sz w:val="18"/>
                <w:szCs w:val="22"/>
                <w:lang w:val="zh-CN" w:eastAsia="zh-CN" w:bidi="zh-CN"/>
              </w:rPr>
            </w:pPr>
          </w:p>
        </w:tc>
        <w:tc>
          <w:tcPr>
            <w:tcW w:w="1215" w:type="dxa"/>
            <w:vAlign w:val="center"/>
          </w:tcPr>
          <w:p>
            <w:pPr>
              <w:pStyle w:val="9"/>
              <w:spacing w:before="62" w:line="252" w:lineRule="auto"/>
              <w:ind w:left="381" w:right="180" w:hanging="180"/>
              <w:jc w:val="center"/>
              <w:rPr>
                <w:rFonts w:ascii="宋体" w:hAnsi="宋体" w:eastAsia="宋体" w:cs="宋体"/>
                <w:kern w:val="2"/>
                <w:sz w:val="18"/>
                <w:szCs w:val="22"/>
                <w:lang w:val="zh-CN" w:eastAsia="zh-CN" w:bidi="zh-CN"/>
              </w:rPr>
            </w:pPr>
            <w:r>
              <w:rPr>
                <w:rFonts w:ascii="宋体" w:hAnsi="宋体" w:eastAsia="宋体" w:cs="宋体"/>
                <w:kern w:val="2"/>
                <w:sz w:val="18"/>
                <w:szCs w:val="22"/>
                <w:lang w:val="zh-CN" w:eastAsia="zh-CN" w:bidi="zh-CN"/>
              </w:rPr>
              <w:t>社会效益指标</w:t>
            </w:r>
          </w:p>
        </w:tc>
        <w:tc>
          <w:tcPr>
            <w:tcW w:w="1322" w:type="dxa"/>
            <w:gridSpan w:val="2"/>
            <w:vAlign w:val="center"/>
          </w:tcPr>
          <w:p>
            <w:pPr>
              <w:pStyle w:val="9"/>
              <w:spacing w:before="171"/>
              <w:ind w:left="112"/>
              <w:jc w:val="center"/>
              <w:rPr>
                <w:rFonts w:hint="eastAsia" w:ascii="宋体" w:hAnsi="宋体" w:eastAsia="宋体" w:cs="宋体"/>
                <w:kern w:val="2"/>
                <w:sz w:val="18"/>
                <w:szCs w:val="22"/>
                <w:lang w:val="zh-CN" w:eastAsia="zh-CN" w:bidi="zh-CN"/>
              </w:rPr>
            </w:pPr>
            <w:r>
              <w:rPr>
                <w:rFonts w:hint="eastAsia" w:ascii="宋体" w:hAnsi="宋体" w:eastAsia="宋体" w:cs="宋体"/>
                <w:kern w:val="2"/>
                <w:sz w:val="18"/>
                <w:szCs w:val="22"/>
                <w:lang w:val="zh-CN" w:eastAsia="zh-CN" w:bidi="zh-CN"/>
              </w:rPr>
              <w:t>确保辖区内粮食的质量安全</w:t>
            </w:r>
          </w:p>
        </w:tc>
        <w:tc>
          <w:tcPr>
            <w:tcW w:w="1732" w:type="dxa"/>
            <w:gridSpan w:val="2"/>
            <w:vAlign w:val="center"/>
          </w:tcPr>
          <w:p>
            <w:pPr>
              <w:pStyle w:val="9"/>
              <w:spacing w:before="152"/>
              <w:ind w:left="71" w:right="54"/>
              <w:jc w:val="center"/>
              <w:rPr>
                <w:rFonts w:hint="eastAsia" w:ascii="宋体" w:hAnsi="宋体" w:eastAsia="宋体" w:cs="宋体"/>
                <w:kern w:val="2"/>
                <w:sz w:val="18"/>
                <w:szCs w:val="22"/>
                <w:lang w:val="zh-CN" w:eastAsia="zh-CN" w:bidi="zh-CN"/>
              </w:rPr>
            </w:pPr>
            <w:r>
              <w:rPr>
                <w:rFonts w:hint="eastAsia" w:ascii="宋体" w:hAnsi="宋体" w:eastAsia="宋体" w:cs="宋体"/>
                <w:kern w:val="2"/>
                <w:sz w:val="18"/>
                <w:szCs w:val="22"/>
                <w:lang w:val="zh-CN" w:eastAsia="zh-CN" w:bidi="zh-CN"/>
              </w:rPr>
              <w:t>≥3家</w:t>
            </w:r>
          </w:p>
        </w:tc>
        <w:tc>
          <w:tcPr>
            <w:tcW w:w="764" w:type="dxa"/>
            <w:vAlign w:val="center"/>
          </w:tcPr>
          <w:p>
            <w:pPr>
              <w:pStyle w:val="9"/>
              <w:ind w:right="206"/>
              <w:jc w:val="center"/>
              <w:rPr>
                <w:rFonts w:hint="eastAsia"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4家</w:t>
            </w:r>
          </w:p>
        </w:tc>
        <w:tc>
          <w:tcPr>
            <w:tcW w:w="681" w:type="dxa"/>
            <w:gridSpan w:val="2"/>
            <w:vAlign w:val="center"/>
          </w:tcPr>
          <w:p>
            <w:pPr>
              <w:pStyle w:val="9"/>
              <w:ind w:right="206"/>
              <w:jc w:val="center"/>
              <w:rPr>
                <w:rFonts w:hint="default"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15</w:t>
            </w:r>
          </w:p>
        </w:tc>
        <w:tc>
          <w:tcPr>
            <w:tcW w:w="887" w:type="dxa"/>
            <w:gridSpan w:val="2"/>
            <w:vAlign w:val="center"/>
          </w:tcPr>
          <w:p>
            <w:pPr>
              <w:pStyle w:val="9"/>
              <w:ind w:right="206"/>
              <w:jc w:val="center"/>
              <w:rPr>
                <w:rFonts w:hint="default"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15</w:t>
            </w:r>
          </w:p>
        </w:tc>
        <w:tc>
          <w:tcPr>
            <w:tcW w:w="1063" w:type="dxa"/>
            <w:gridSpan w:val="2"/>
            <w:vAlign w:val="center"/>
          </w:tcPr>
          <w:p>
            <w:pPr>
              <w:pStyle w:val="9"/>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589" w:type="dxa"/>
            <w:vMerge w:val="continue"/>
            <w:tcBorders>
              <w:top w:val="nil"/>
            </w:tcBorders>
          </w:tcPr>
          <w:p>
            <w:pPr>
              <w:rPr>
                <w:sz w:val="2"/>
                <w:szCs w:val="2"/>
              </w:rPr>
            </w:pPr>
          </w:p>
        </w:tc>
        <w:tc>
          <w:tcPr>
            <w:tcW w:w="982" w:type="dxa"/>
            <w:vMerge w:val="continue"/>
            <w:tcBorders>
              <w:top w:val="nil"/>
            </w:tcBorders>
          </w:tcPr>
          <w:p>
            <w:pPr>
              <w:jc w:val="center"/>
              <w:rPr>
                <w:rFonts w:ascii="宋体" w:hAnsi="宋体" w:eastAsia="宋体" w:cs="宋体"/>
                <w:kern w:val="2"/>
                <w:sz w:val="18"/>
                <w:szCs w:val="22"/>
                <w:lang w:val="zh-CN" w:eastAsia="zh-CN" w:bidi="zh-CN"/>
              </w:rPr>
            </w:pPr>
          </w:p>
        </w:tc>
        <w:tc>
          <w:tcPr>
            <w:tcW w:w="1215" w:type="dxa"/>
            <w:vAlign w:val="center"/>
          </w:tcPr>
          <w:p>
            <w:pPr>
              <w:pStyle w:val="9"/>
              <w:spacing w:before="124" w:line="252" w:lineRule="auto"/>
              <w:ind w:left="381" w:right="180" w:hanging="180"/>
              <w:jc w:val="center"/>
              <w:rPr>
                <w:rFonts w:ascii="宋体" w:hAnsi="宋体" w:eastAsia="宋体" w:cs="宋体"/>
                <w:kern w:val="2"/>
                <w:sz w:val="18"/>
                <w:szCs w:val="22"/>
                <w:lang w:val="zh-CN" w:eastAsia="zh-CN" w:bidi="zh-CN"/>
              </w:rPr>
            </w:pPr>
            <w:r>
              <w:rPr>
                <w:rFonts w:ascii="宋体" w:hAnsi="宋体" w:eastAsia="宋体" w:cs="宋体"/>
                <w:kern w:val="2"/>
                <w:sz w:val="18"/>
                <w:szCs w:val="22"/>
                <w:lang w:val="zh-CN" w:eastAsia="zh-CN" w:bidi="zh-CN"/>
              </w:rPr>
              <w:t>生态效益指标</w:t>
            </w:r>
          </w:p>
        </w:tc>
        <w:tc>
          <w:tcPr>
            <w:tcW w:w="1322" w:type="dxa"/>
            <w:gridSpan w:val="2"/>
            <w:vAlign w:val="center"/>
          </w:tcPr>
          <w:p>
            <w:pPr>
              <w:pStyle w:val="9"/>
              <w:spacing w:before="117" w:line="213" w:lineRule="auto"/>
              <w:ind w:left="112" w:right="49"/>
              <w:jc w:val="center"/>
              <w:rPr>
                <w:rFonts w:hint="eastAsia" w:ascii="宋体" w:hAnsi="宋体" w:eastAsia="宋体" w:cs="宋体"/>
                <w:kern w:val="2"/>
                <w:sz w:val="18"/>
                <w:szCs w:val="22"/>
                <w:lang w:val="zh-CN" w:eastAsia="zh-CN" w:bidi="zh-CN"/>
              </w:rPr>
            </w:pPr>
            <w:r>
              <w:rPr>
                <w:rFonts w:hint="eastAsia" w:ascii="宋体" w:hAnsi="宋体" w:eastAsia="宋体" w:cs="宋体"/>
                <w:kern w:val="2"/>
                <w:sz w:val="18"/>
                <w:szCs w:val="22"/>
                <w:lang w:val="zh-CN" w:eastAsia="zh-CN" w:bidi="zh-CN"/>
              </w:rPr>
              <w:t>满足生态环保要求</w:t>
            </w:r>
          </w:p>
        </w:tc>
        <w:tc>
          <w:tcPr>
            <w:tcW w:w="1732" w:type="dxa"/>
            <w:gridSpan w:val="2"/>
            <w:vAlign w:val="center"/>
          </w:tcPr>
          <w:p>
            <w:pPr>
              <w:pStyle w:val="9"/>
              <w:jc w:val="center"/>
              <w:rPr>
                <w:rFonts w:ascii="宋体" w:hAnsi="宋体" w:eastAsia="宋体" w:cs="宋体"/>
                <w:kern w:val="2"/>
                <w:sz w:val="18"/>
                <w:szCs w:val="22"/>
                <w:lang w:val="zh-CN" w:eastAsia="zh-CN" w:bidi="zh-CN"/>
              </w:rPr>
            </w:pPr>
            <w:r>
              <w:rPr>
                <w:rFonts w:hint="eastAsia" w:ascii="宋体" w:hAnsi="宋体" w:eastAsia="宋体" w:cs="宋体"/>
                <w:kern w:val="2"/>
                <w:sz w:val="18"/>
                <w:szCs w:val="22"/>
                <w:lang w:val="zh-CN" w:eastAsia="zh-CN" w:bidi="zh-CN"/>
              </w:rPr>
              <w:t>废弃物进行有效处理</w:t>
            </w:r>
          </w:p>
        </w:tc>
        <w:tc>
          <w:tcPr>
            <w:tcW w:w="764" w:type="dxa"/>
            <w:vAlign w:val="center"/>
          </w:tcPr>
          <w:p>
            <w:pPr>
              <w:pStyle w:val="9"/>
              <w:ind w:right="206"/>
              <w:jc w:val="center"/>
              <w:rPr>
                <w:rFonts w:hint="default"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100</w:t>
            </w:r>
          </w:p>
        </w:tc>
        <w:tc>
          <w:tcPr>
            <w:tcW w:w="681" w:type="dxa"/>
            <w:gridSpan w:val="2"/>
            <w:vAlign w:val="center"/>
          </w:tcPr>
          <w:p>
            <w:pPr>
              <w:pStyle w:val="9"/>
              <w:ind w:right="206"/>
              <w:jc w:val="center"/>
              <w:rPr>
                <w:rFonts w:hint="default"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15</w:t>
            </w:r>
          </w:p>
        </w:tc>
        <w:tc>
          <w:tcPr>
            <w:tcW w:w="887" w:type="dxa"/>
            <w:gridSpan w:val="2"/>
            <w:vAlign w:val="center"/>
          </w:tcPr>
          <w:p>
            <w:pPr>
              <w:pStyle w:val="9"/>
              <w:ind w:right="206"/>
              <w:jc w:val="center"/>
              <w:rPr>
                <w:rFonts w:hint="default"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15</w:t>
            </w:r>
          </w:p>
        </w:tc>
        <w:tc>
          <w:tcPr>
            <w:tcW w:w="1063" w:type="dxa"/>
            <w:gridSpan w:val="2"/>
            <w:vAlign w:val="center"/>
          </w:tcPr>
          <w:p>
            <w:pPr>
              <w:pStyle w:val="9"/>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589" w:type="dxa"/>
            <w:vMerge w:val="continue"/>
            <w:tcBorders>
              <w:top w:val="nil"/>
            </w:tcBorders>
          </w:tcPr>
          <w:p>
            <w:pPr>
              <w:rPr>
                <w:sz w:val="2"/>
                <w:szCs w:val="2"/>
              </w:rPr>
            </w:pPr>
          </w:p>
        </w:tc>
        <w:tc>
          <w:tcPr>
            <w:tcW w:w="982" w:type="dxa"/>
            <w:vMerge w:val="continue"/>
            <w:tcBorders>
              <w:top w:val="nil"/>
            </w:tcBorders>
          </w:tcPr>
          <w:p>
            <w:pPr>
              <w:jc w:val="center"/>
              <w:rPr>
                <w:rFonts w:ascii="宋体" w:hAnsi="宋体" w:eastAsia="宋体" w:cs="宋体"/>
                <w:kern w:val="2"/>
                <w:sz w:val="18"/>
                <w:szCs w:val="22"/>
                <w:lang w:val="zh-CN" w:eastAsia="zh-CN" w:bidi="zh-CN"/>
              </w:rPr>
            </w:pPr>
          </w:p>
        </w:tc>
        <w:tc>
          <w:tcPr>
            <w:tcW w:w="1215" w:type="dxa"/>
            <w:vAlign w:val="center"/>
          </w:tcPr>
          <w:p>
            <w:pPr>
              <w:pStyle w:val="9"/>
              <w:spacing w:before="67" w:line="252" w:lineRule="auto"/>
              <w:ind w:left="290" w:right="180" w:hanging="89"/>
              <w:jc w:val="center"/>
              <w:rPr>
                <w:rFonts w:ascii="宋体" w:hAnsi="宋体" w:eastAsia="宋体" w:cs="宋体"/>
                <w:kern w:val="2"/>
                <w:sz w:val="18"/>
                <w:szCs w:val="22"/>
                <w:lang w:val="zh-CN" w:eastAsia="zh-CN" w:bidi="zh-CN"/>
              </w:rPr>
            </w:pPr>
            <w:r>
              <w:rPr>
                <w:rFonts w:ascii="宋体" w:hAnsi="宋体" w:eastAsia="宋体" w:cs="宋体"/>
                <w:kern w:val="2"/>
                <w:sz w:val="18"/>
                <w:szCs w:val="22"/>
                <w:lang w:val="zh-CN" w:eastAsia="zh-CN" w:bidi="zh-CN"/>
              </w:rPr>
              <w:t>可持续影响指标</w:t>
            </w:r>
          </w:p>
        </w:tc>
        <w:tc>
          <w:tcPr>
            <w:tcW w:w="1322" w:type="dxa"/>
            <w:gridSpan w:val="2"/>
            <w:vAlign w:val="center"/>
          </w:tcPr>
          <w:p>
            <w:pPr>
              <w:pStyle w:val="9"/>
              <w:spacing w:before="157"/>
              <w:ind w:left="112"/>
              <w:jc w:val="center"/>
              <w:rPr>
                <w:rFonts w:hint="eastAsia" w:ascii="宋体" w:hAnsi="宋体" w:eastAsia="宋体" w:cs="宋体"/>
                <w:kern w:val="2"/>
                <w:sz w:val="18"/>
                <w:szCs w:val="22"/>
                <w:lang w:val="zh-CN" w:eastAsia="zh-CN" w:bidi="zh-CN"/>
              </w:rPr>
            </w:pPr>
            <w:r>
              <w:rPr>
                <w:rFonts w:hint="eastAsia" w:ascii="宋体" w:hAnsi="宋体" w:eastAsia="宋体" w:cs="宋体"/>
                <w:kern w:val="2"/>
                <w:sz w:val="18"/>
                <w:szCs w:val="22"/>
                <w:lang w:val="zh-CN" w:eastAsia="zh-CN" w:bidi="zh-CN"/>
              </w:rPr>
              <w:t>本项目不涉及可持续影响指标</w:t>
            </w:r>
          </w:p>
        </w:tc>
        <w:tc>
          <w:tcPr>
            <w:tcW w:w="1732" w:type="dxa"/>
            <w:gridSpan w:val="2"/>
            <w:vAlign w:val="center"/>
          </w:tcPr>
          <w:p>
            <w:pPr>
              <w:pStyle w:val="9"/>
              <w:ind w:left="71" w:right="54"/>
              <w:jc w:val="center"/>
              <w:rPr>
                <w:rFonts w:hint="eastAsia" w:ascii="宋体" w:hAnsi="宋体" w:eastAsia="宋体" w:cs="宋体"/>
                <w:kern w:val="2"/>
                <w:sz w:val="18"/>
                <w:szCs w:val="22"/>
                <w:lang w:val="zh-CN" w:eastAsia="zh-CN" w:bidi="zh-CN"/>
              </w:rPr>
            </w:pPr>
            <w:r>
              <w:rPr>
                <w:rFonts w:hint="eastAsia" w:ascii="宋体" w:hAnsi="宋体" w:eastAsia="宋体" w:cs="宋体"/>
                <w:kern w:val="2"/>
                <w:sz w:val="18"/>
                <w:szCs w:val="22"/>
                <w:lang w:val="zh-CN" w:eastAsia="zh-CN" w:bidi="zh-CN"/>
              </w:rPr>
              <w:t>本项目不涉及可持续影响指标</w:t>
            </w:r>
          </w:p>
        </w:tc>
        <w:tc>
          <w:tcPr>
            <w:tcW w:w="764" w:type="dxa"/>
            <w:vAlign w:val="center"/>
          </w:tcPr>
          <w:p>
            <w:pPr>
              <w:pStyle w:val="9"/>
              <w:ind w:right="206"/>
              <w:jc w:val="center"/>
              <w:rPr>
                <w:rFonts w:hint="eastAsia"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0</w:t>
            </w:r>
          </w:p>
        </w:tc>
        <w:tc>
          <w:tcPr>
            <w:tcW w:w="681" w:type="dxa"/>
            <w:gridSpan w:val="2"/>
            <w:vAlign w:val="center"/>
          </w:tcPr>
          <w:p>
            <w:pPr>
              <w:pStyle w:val="9"/>
              <w:ind w:right="206"/>
              <w:jc w:val="center"/>
              <w:rPr>
                <w:rFonts w:hint="eastAsia"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0</w:t>
            </w:r>
          </w:p>
        </w:tc>
        <w:tc>
          <w:tcPr>
            <w:tcW w:w="887" w:type="dxa"/>
            <w:gridSpan w:val="2"/>
            <w:vAlign w:val="center"/>
          </w:tcPr>
          <w:p>
            <w:pPr>
              <w:pStyle w:val="9"/>
              <w:ind w:right="206"/>
              <w:jc w:val="center"/>
              <w:rPr>
                <w:rFonts w:hint="eastAsia"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0</w:t>
            </w:r>
          </w:p>
        </w:tc>
        <w:tc>
          <w:tcPr>
            <w:tcW w:w="1063" w:type="dxa"/>
            <w:gridSpan w:val="2"/>
            <w:vAlign w:val="center"/>
          </w:tcPr>
          <w:p>
            <w:pPr>
              <w:pStyle w:val="9"/>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589" w:type="dxa"/>
            <w:vMerge w:val="continue"/>
            <w:tcBorders>
              <w:top w:val="nil"/>
            </w:tcBorders>
          </w:tcPr>
          <w:p>
            <w:pPr>
              <w:rPr>
                <w:sz w:val="2"/>
                <w:szCs w:val="2"/>
              </w:rPr>
            </w:pPr>
          </w:p>
        </w:tc>
        <w:tc>
          <w:tcPr>
            <w:tcW w:w="982" w:type="dxa"/>
            <w:vMerge w:val="restart"/>
          </w:tcPr>
          <w:p>
            <w:pPr>
              <w:pStyle w:val="9"/>
              <w:spacing w:before="68"/>
              <w:ind w:left="117"/>
              <w:jc w:val="center"/>
              <w:rPr>
                <w:rFonts w:ascii="宋体" w:hAnsi="宋体" w:eastAsia="宋体" w:cs="宋体"/>
                <w:kern w:val="2"/>
                <w:sz w:val="18"/>
                <w:szCs w:val="22"/>
                <w:lang w:val="zh-CN" w:eastAsia="zh-CN" w:bidi="zh-CN"/>
              </w:rPr>
            </w:pPr>
          </w:p>
          <w:p>
            <w:pPr>
              <w:pStyle w:val="9"/>
              <w:spacing w:before="68"/>
              <w:ind w:left="117"/>
              <w:jc w:val="center"/>
              <w:rPr>
                <w:rFonts w:ascii="宋体" w:hAnsi="宋体" w:eastAsia="宋体" w:cs="宋体"/>
                <w:kern w:val="2"/>
                <w:sz w:val="18"/>
                <w:szCs w:val="22"/>
                <w:lang w:val="zh-CN" w:eastAsia="zh-CN" w:bidi="zh-CN"/>
              </w:rPr>
            </w:pPr>
          </w:p>
          <w:p>
            <w:pPr>
              <w:pStyle w:val="9"/>
              <w:spacing w:before="68"/>
              <w:ind w:left="117"/>
              <w:jc w:val="center"/>
              <w:rPr>
                <w:rFonts w:ascii="宋体" w:hAnsi="宋体" w:eastAsia="宋体" w:cs="宋体"/>
                <w:kern w:val="2"/>
                <w:sz w:val="18"/>
                <w:szCs w:val="22"/>
                <w:lang w:val="zh-CN" w:eastAsia="zh-CN" w:bidi="zh-CN"/>
              </w:rPr>
            </w:pPr>
            <w:r>
              <w:rPr>
                <w:rFonts w:ascii="宋体" w:hAnsi="宋体" w:eastAsia="宋体" w:cs="宋体"/>
                <w:kern w:val="2"/>
                <w:sz w:val="18"/>
                <w:szCs w:val="22"/>
                <w:lang w:val="zh-CN" w:eastAsia="zh-CN" w:bidi="zh-CN"/>
              </w:rPr>
              <w:t>满意度指标10 分</w:t>
            </w:r>
          </w:p>
        </w:tc>
        <w:tc>
          <w:tcPr>
            <w:tcW w:w="1215" w:type="dxa"/>
            <w:vMerge w:val="restart"/>
            <w:vAlign w:val="center"/>
          </w:tcPr>
          <w:p>
            <w:pPr>
              <w:pStyle w:val="9"/>
              <w:spacing w:before="68"/>
              <w:ind w:left="117"/>
              <w:jc w:val="center"/>
              <w:rPr>
                <w:rFonts w:ascii="宋体" w:hAnsi="宋体" w:eastAsia="宋体" w:cs="宋体"/>
                <w:kern w:val="2"/>
                <w:sz w:val="18"/>
                <w:szCs w:val="22"/>
                <w:lang w:val="zh-CN" w:eastAsia="zh-CN" w:bidi="zh-CN"/>
              </w:rPr>
            </w:pPr>
          </w:p>
          <w:p>
            <w:pPr>
              <w:pStyle w:val="9"/>
              <w:spacing w:before="68"/>
              <w:ind w:left="117"/>
              <w:jc w:val="center"/>
              <w:rPr>
                <w:rFonts w:ascii="宋体" w:hAnsi="宋体" w:eastAsia="宋体" w:cs="宋体"/>
                <w:kern w:val="2"/>
                <w:sz w:val="18"/>
                <w:szCs w:val="22"/>
                <w:lang w:val="zh-CN" w:eastAsia="zh-CN" w:bidi="zh-CN"/>
              </w:rPr>
            </w:pPr>
            <w:r>
              <w:rPr>
                <w:rFonts w:ascii="宋体" w:hAnsi="宋体" w:eastAsia="宋体" w:cs="宋体"/>
                <w:kern w:val="2"/>
                <w:sz w:val="18"/>
                <w:szCs w:val="22"/>
                <w:lang w:val="zh-CN" w:eastAsia="zh-CN" w:bidi="zh-CN"/>
              </w:rPr>
              <w:t>服务对象满意度指标</w:t>
            </w:r>
          </w:p>
        </w:tc>
        <w:tc>
          <w:tcPr>
            <w:tcW w:w="1322" w:type="dxa"/>
            <w:gridSpan w:val="2"/>
            <w:vAlign w:val="center"/>
          </w:tcPr>
          <w:p>
            <w:pPr>
              <w:pStyle w:val="9"/>
              <w:spacing w:before="68"/>
              <w:ind w:left="117"/>
              <w:jc w:val="center"/>
              <w:rPr>
                <w:rFonts w:hint="eastAsia" w:ascii="宋体" w:hAnsi="宋体" w:eastAsia="宋体" w:cs="宋体"/>
                <w:kern w:val="2"/>
                <w:sz w:val="18"/>
                <w:szCs w:val="22"/>
                <w:lang w:val="zh-CN" w:eastAsia="zh-CN" w:bidi="zh-CN"/>
              </w:rPr>
            </w:pPr>
          </w:p>
        </w:tc>
        <w:tc>
          <w:tcPr>
            <w:tcW w:w="1732" w:type="dxa"/>
            <w:gridSpan w:val="2"/>
            <w:vAlign w:val="center"/>
          </w:tcPr>
          <w:p>
            <w:pPr>
              <w:pStyle w:val="9"/>
              <w:spacing w:before="68"/>
              <w:ind w:left="117"/>
              <w:jc w:val="center"/>
              <w:rPr>
                <w:rFonts w:ascii="宋体" w:hAnsi="宋体" w:eastAsia="宋体" w:cs="宋体"/>
                <w:kern w:val="2"/>
                <w:sz w:val="18"/>
                <w:szCs w:val="22"/>
                <w:lang w:val="zh-CN" w:eastAsia="zh-CN" w:bidi="zh-CN"/>
              </w:rPr>
            </w:pPr>
          </w:p>
        </w:tc>
        <w:tc>
          <w:tcPr>
            <w:tcW w:w="764" w:type="dxa"/>
            <w:vAlign w:val="center"/>
          </w:tcPr>
          <w:p>
            <w:pPr>
              <w:pStyle w:val="9"/>
              <w:spacing w:before="68"/>
              <w:ind w:left="117"/>
              <w:jc w:val="center"/>
              <w:rPr>
                <w:rFonts w:ascii="宋体" w:hAnsi="宋体" w:eastAsia="宋体" w:cs="宋体"/>
                <w:kern w:val="2"/>
                <w:sz w:val="18"/>
                <w:szCs w:val="22"/>
                <w:lang w:val="zh-CN" w:eastAsia="zh-CN" w:bidi="zh-CN"/>
              </w:rPr>
            </w:pPr>
          </w:p>
        </w:tc>
        <w:tc>
          <w:tcPr>
            <w:tcW w:w="681" w:type="dxa"/>
            <w:gridSpan w:val="2"/>
            <w:vAlign w:val="center"/>
          </w:tcPr>
          <w:p>
            <w:pPr>
              <w:pStyle w:val="9"/>
              <w:spacing w:before="68"/>
              <w:ind w:left="117"/>
              <w:jc w:val="center"/>
              <w:rPr>
                <w:rFonts w:ascii="宋体" w:hAnsi="宋体" w:eastAsia="宋体" w:cs="宋体"/>
                <w:kern w:val="2"/>
                <w:sz w:val="18"/>
                <w:szCs w:val="22"/>
                <w:lang w:val="zh-CN" w:eastAsia="zh-CN" w:bidi="zh-CN"/>
              </w:rPr>
            </w:pPr>
          </w:p>
        </w:tc>
        <w:tc>
          <w:tcPr>
            <w:tcW w:w="887" w:type="dxa"/>
            <w:gridSpan w:val="2"/>
            <w:vAlign w:val="center"/>
          </w:tcPr>
          <w:p>
            <w:pPr>
              <w:pStyle w:val="9"/>
              <w:spacing w:before="68"/>
              <w:ind w:left="117"/>
              <w:jc w:val="center"/>
              <w:rPr>
                <w:rFonts w:ascii="宋体" w:hAnsi="宋体" w:eastAsia="宋体" w:cs="宋体"/>
                <w:kern w:val="2"/>
                <w:sz w:val="18"/>
                <w:szCs w:val="22"/>
                <w:lang w:val="zh-CN" w:eastAsia="zh-CN" w:bidi="zh-CN"/>
              </w:rPr>
            </w:pPr>
          </w:p>
        </w:tc>
        <w:tc>
          <w:tcPr>
            <w:tcW w:w="1063" w:type="dxa"/>
            <w:gridSpan w:val="2"/>
            <w:vAlign w:val="center"/>
          </w:tcPr>
          <w:p>
            <w:pPr>
              <w:pStyle w:val="9"/>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atLeast"/>
        </w:trPr>
        <w:tc>
          <w:tcPr>
            <w:tcW w:w="589" w:type="dxa"/>
            <w:vMerge w:val="continue"/>
            <w:tcBorders>
              <w:top w:val="nil"/>
            </w:tcBorders>
          </w:tcPr>
          <w:p>
            <w:pPr>
              <w:rPr>
                <w:sz w:val="2"/>
                <w:szCs w:val="2"/>
              </w:rPr>
            </w:pPr>
          </w:p>
        </w:tc>
        <w:tc>
          <w:tcPr>
            <w:tcW w:w="982" w:type="dxa"/>
            <w:vMerge w:val="continue"/>
            <w:tcBorders>
              <w:top w:val="nil"/>
            </w:tcBorders>
          </w:tcPr>
          <w:p>
            <w:pPr>
              <w:jc w:val="center"/>
              <w:rPr>
                <w:rFonts w:ascii="宋体" w:hAnsi="宋体" w:eastAsia="宋体" w:cs="宋体"/>
                <w:kern w:val="2"/>
                <w:sz w:val="18"/>
                <w:szCs w:val="22"/>
                <w:lang w:val="zh-CN" w:eastAsia="zh-CN" w:bidi="zh-CN"/>
              </w:rPr>
            </w:pPr>
          </w:p>
        </w:tc>
        <w:tc>
          <w:tcPr>
            <w:tcW w:w="1215" w:type="dxa"/>
            <w:vMerge w:val="continue"/>
            <w:tcBorders>
              <w:top w:val="nil"/>
            </w:tcBorders>
            <w:vAlign w:val="center"/>
          </w:tcPr>
          <w:p>
            <w:pPr>
              <w:jc w:val="center"/>
              <w:rPr>
                <w:rFonts w:ascii="宋体" w:hAnsi="宋体" w:eastAsia="宋体" w:cs="宋体"/>
                <w:kern w:val="2"/>
                <w:sz w:val="18"/>
                <w:szCs w:val="22"/>
                <w:lang w:val="zh-CN" w:eastAsia="zh-CN" w:bidi="zh-CN"/>
              </w:rPr>
            </w:pPr>
          </w:p>
        </w:tc>
        <w:tc>
          <w:tcPr>
            <w:tcW w:w="1322" w:type="dxa"/>
            <w:gridSpan w:val="2"/>
            <w:vAlign w:val="center"/>
          </w:tcPr>
          <w:p>
            <w:pPr>
              <w:pStyle w:val="9"/>
              <w:spacing w:before="54" w:line="300" w:lineRule="atLeast"/>
              <w:ind w:left="112" w:right="49"/>
              <w:jc w:val="center"/>
              <w:rPr>
                <w:rFonts w:hint="eastAsia" w:ascii="宋体" w:hAnsi="宋体" w:eastAsia="宋体" w:cs="宋体"/>
                <w:kern w:val="2"/>
                <w:sz w:val="18"/>
                <w:szCs w:val="22"/>
                <w:lang w:val="zh-CN" w:eastAsia="zh-CN" w:bidi="zh-CN"/>
              </w:rPr>
            </w:pPr>
            <w:r>
              <w:rPr>
                <w:rFonts w:hint="eastAsia" w:ascii="宋体" w:hAnsi="宋体" w:eastAsia="宋体" w:cs="宋体"/>
                <w:kern w:val="2"/>
                <w:sz w:val="18"/>
                <w:szCs w:val="22"/>
                <w:lang w:val="zh-CN" w:eastAsia="zh-CN" w:bidi="zh-CN"/>
              </w:rPr>
              <w:t>检测结果投诉率</w:t>
            </w:r>
          </w:p>
        </w:tc>
        <w:tc>
          <w:tcPr>
            <w:tcW w:w="1732" w:type="dxa"/>
            <w:gridSpan w:val="2"/>
            <w:vAlign w:val="center"/>
          </w:tcPr>
          <w:p>
            <w:pPr>
              <w:pStyle w:val="9"/>
              <w:spacing w:before="97"/>
              <w:ind w:left="71" w:right="56"/>
              <w:jc w:val="center"/>
              <w:rPr>
                <w:rFonts w:ascii="宋体" w:hAnsi="宋体" w:eastAsia="宋体" w:cs="宋体"/>
                <w:kern w:val="2"/>
                <w:sz w:val="18"/>
                <w:szCs w:val="22"/>
                <w:lang w:val="zh-CN" w:eastAsia="zh-CN" w:bidi="zh-CN"/>
              </w:rPr>
            </w:pPr>
            <w:r>
              <w:rPr>
                <w:rFonts w:hint="eastAsia" w:ascii="宋体" w:hAnsi="宋体" w:eastAsia="宋体" w:cs="宋体"/>
                <w:kern w:val="2"/>
                <w:sz w:val="18"/>
                <w:szCs w:val="22"/>
                <w:lang w:val="zh-CN" w:eastAsia="zh-CN" w:bidi="zh-CN"/>
              </w:rPr>
              <w:t>≤2百分比</w:t>
            </w:r>
          </w:p>
        </w:tc>
        <w:tc>
          <w:tcPr>
            <w:tcW w:w="764" w:type="dxa"/>
            <w:vAlign w:val="center"/>
          </w:tcPr>
          <w:p>
            <w:pPr>
              <w:pStyle w:val="9"/>
              <w:ind w:right="229"/>
              <w:jc w:val="center"/>
              <w:rPr>
                <w:rFonts w:hint="eastAsia"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0</w:t>
            </w:r>
          </w:p>
        </w:tc>
        <w:tc>
          <w:tcPr>
            <w:tcW w:w="681" w:type="dxa"/>
            <w:gridSpan w:val="2"/>
            <w:vAlign w:val="center"/>
          </w:tcPr>
          <w:p>
            <w:pPr>
              <w:pStyle w:val="9"/>
              <w:ind w:left="20"/>
              <w:jc w:val="center"/>
              <w:rPr>
                <w:rFonts w:hint="eastAsia"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5</w:t>
            </w:r>
          </w:p>
        </w:tc>
        <w:tc>
          <w:tcPr>
            <w:tcW w:w="887" w:type="dxa"/>
            <w:gridSpan w:val="2"/>
            <w:vAlign w:val="center"/>
          </w:tcPr>
          <w:p>
            <w:pPr>
              <w:pStyle w:val="9"/>
              <w:ind w:left="17"/>
              <w:jc w:val="center"/>
              <w:rPr>
                <w:rFonts w:hint="eastAsia"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5</w:t>
            </w:r>
          </w:p>
        </w:tc>
        <w:tc>
          <w:tcPr>
            <w:tcW w:w="1063" w:type="dxa"/>
            <w:gridSpan w:val="2"/>
            <w:vAlign w:val="center"/>
          </w:tcPr>
          <w:p>
            <w:pPr>
              <w:pStyle w:val="9"/>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89" w:type="dxa"/>
            <w:vMerge w:val="continue"/>
            <w:tcBorders>
              <w:top w:val="nil"/>
            </w:tcBorders>
          </w:tcPr>
          <w:p>
            <w:pPr>
              <w:rPr>
                <w:sz w:val="2"/>
                <w:szCs w:val="2"/>
              </w:rPr>
            </w:pPr>
          </w:p>
        </w:tc>
        <w:tc>
          <w:tcPr>
            <w:tcW w:w="982" w:type="dxa"/>
            <w:vMerge w:val="continue"/>
            <w:tcBorders>
              <w:top w:val="nil"/>
            </w:tcBorders>
          </w:tcPr>
          <w:p>
            <w:pPr>
              <w:jc w:val="center"/>
              <w:rPr>
                <w:rFonts w:ascii="宋体" w:hAnsi="宋体" w:eastAsia="宋体" w:cs="宋体"/>
                <w:kern w:val="2"/>
                <w:sz w:val="18"/>
                <w:szCs w:val="22"/>
                <w:lang w:val="zh-CN" w:eastAsia="zh-CN" w:bidi="zh-CN"/>
              </w:rPr>
            </w:pPr>
          </w:p>
        </w:tc>
        <w:tc>
          <w:tcPr>
            <w:tcW w:w="1215" w:type="dxa"/>
            <w:vMerge w:val="continue"/>
            <w:tcBorders>
              <w:top w:val="nil"/>
            </w:tcBorders>
          </w:tcPr>
          <w:p>
            <w:pPr>
              <w:jc w:val="center"/>
              <w:rPr>
                <w:rFonts w:ascii="宋体" w:hAnsi="宋体" w:eastAsia="宋体" w:cs="宋体"/>
                <w:kern w:val="2"/>
                <w:sz w:val="18"/>
                <w:szCs w:val="22"/>
                <w:lang w:val="zh-CN" w:eastAsia="zh-CN" w:bidi="zh-CN"/>
              </w:rPr>
            </w:pPr>
          </w:p>
        </w:tc>
        <w:tc>
          <w:tcPr>
            <w:tcW w:w="1322" w:type="dxa"/>
            <w:gridSpan w:val="2"/>
          </w:tcPr>
          <w:p>
            <w:pPr>
              <w:pStyle w:val="9"/>
              <w:spacing w:before="33"/>
              <w:ind w:left="112"/>
              <w:jc w:val="center"/>
              <w:rPr>
                <w:rFonts w:hint="eastAsia" w:ascii="宋体" w:hAnsi="宋体" w:eastAsia="宋体" w:cs="宋体"/>
                <w:kern w:val="2"/>
                <w:sz w:val="18"/>
                <w:szCs w:val="22"/>
                <w:lang w:val="zh-CN" w:eastAsia="zh-CN" w:bidi="zh-CN"/>
              </w:rPr>
            </w:pPr>
            <w:r>
              <w:rPr>
                <w:rFonts w:hint="eastAsia" w:ascii="宋体" w:hAnsi="宋体" w:eastAsia="宋体" w:cs="宋体"/>
                <w:kern w:val="2"/>
                <w:sz w:val="18"/>
                <w:szCs w:val="22"/>
                <w:lang w:val="zh-CN" w:eastAsia="zh-CN" w:bidi="zh-CN"/>
              </w:rPr>
              <w:t>服务对象满意度</w:t>
            </w:r>
          </w:p>
        </w:tc>
        <w:tc>
          <w:tcPr>
            <w:tcW w:w="1732" w:type="dxa"/>
            <w:gridSpan w:val="2"/>
          </w:tcPr>
          <w:p>
            <w:pPr>
              <w:pStyle w:val="9"/>
              <w:spacing w:before="97"/>
              <w:ind w:left="71" w:right="56"/>
              <w:jc w:val="center"/>
              <w:rPr>
                <w:rFonts w:ascii="宋体" w:hAnsi="宋体" w:eastAsia="宋体" w:cs="宋体"/>
                <w:kern w:val="2"/>
                <w:sz w:val="18"/>
                <w:szCs w:val="22"/>
                <w:lang w:val="zh-CN" w:eastAsia="zh-CN" w:bidi="zh-CN"/>
              </w:rPr>
            </w:pPr>
            <w:r>
              <w:rPr>
                <w:rFonts w:hint="eastAsia" w:ascii="宋体" w:hAnsi="宋体" w:eastAsia="宋体" w:cs="宋体"/>
                <w:kern w:val="2"/>
                <w:sz w:val="18"/>
                <w:szCs w:val="22"/>
                <w:lang w:val="zh-CN" w:eastAsia="zh-CN" w:bidi="zh-CN"/>
              </w:rPr>
              <w:t>≥98百分比</w:t>
            </w:r>
          </w:p>
        </w:tc>
        <w:tc>
          <w:tcPr>
            <w:tcW w:w="764" w:type="dxa"/>
          </w:tcPr>
          <w:p>
            <w:pPr>
              <w:pStyle w:val="9"/>
              <w:spacing w:before="67"/>
              <w:ind w:right="229"/>
              <w:jc w:val="center"/>
              <w:rPr>
                <w:rFonts w:hint="default"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100</w:t>
            </w:r>
          </w:p>
        </w:tc>
        <w:tc>
          <w:tcPr>
            <w:tcW w:w="681" w:type="dxa"/>
            <w:gridSpan w:val="2"/>
          </w:tcPr>
          <w:p>
            <w:pPr>
              <w:pStyle w:val="9"/>
              <w:spacing w:before="67"/>
              <w:ind w:left="20"/>
              <w:jc w:val="center"/>
              <w:rPr>
                <w:rFonts w:hint="eastAsia"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5</w:t>
            </w:r>
          </w:p>
        </w:tc>
        <w:tc>
          <w:tcPr>
            <w:tcW w:w="887" w:type="dxa"/>
            <w:gridSpan w:val="2"/>
          </w:tcPr>
          <w:p>
            <w:pPr>
              <w:pStyle w:val="9"/>
              <w:spacing w:before="67"/>
              <w:ind w:left="17"/>
              <w:jc w:val="center"/>
              <w:rPr>
                <w:rFonts w:hint="default"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5</w:t>
            </w:r>
          </w:p>
        </w:tc>
        <w:tc>
          <w:tcPr>
            <w:tcW w:w="1063" w:type="dxa"/>
            <w:gridSpan w:val="2"/>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trPr>
        <w:tc>
          <w:tcPr>
            <w:tcW w:w="6604" w:type="dxa"/>
            <w:gridSpan w:val="8"/>
          </w:tcPr>
          <w:p>
            <w:pPr>
              <w:pStyle w:val="9"/>
              <w:spacing w:before="68"/>
              <w:ind w:left="117"/>
              <w:jc w:val="center"/>
              <w:rPr>
                <w:rFonts w:ascii="宋体" w:hAnsi="宋体" w:eastAsia="宋体" w:cs="宋体"/>
                <w:kern w:val="2"/>
                <w:sz w:val="18"/>
                <w:szCs w:val="22"/>
                <w:lang w:val="zh-CN" w:eastAsia="zh-CN" w:bidi="zh-CN"/>
              </w:rPr>
            </w:pPr>
            <w:r>
              <w:rPr>
                <w:rFonts w:ascii="宋体" w:hAnsi="宋体" w:eastAsia="宋体" w:cs="宋体"/>
                <w:kern w:val="2"/>
                <w:sz w:val="18"/>
                <w:szCs w:val="22"/>
                <w:lang w:val="zh-CN" w:eastAsia="zh-CN" w:bidi="zh-CN"/>
              </w:rPr>
              <w:t>总分</w:t>
            </w:r>
          </w:p>
        </w:tc>
        <w:tc>
          <w:tcPr>
            <w:tcW w:w="681" w:type="dxa"/>
            <w:gridSpan w:val="2"/>
          </w:tcPr>
          <w:p>
            <w:pPr>
              <w:pStyle w:val="9"/>
              <w:spacing w:before="97"/>
              <w:ind w:left="71" w:right="56"/>
              <w:jc w:val="center"/>
              <w:rPr>
                <w:rFonts w:hint="default"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100</w:t>
            </w:r>
          </w:p>
        </w:tc>
        <w:tc>
          <w:tcPr>
            <w:tcW w:w="887" w:type="dxa"/>
            <w:gridSpan w:val="2"/>
          </w:tcPr>
          <w:p>
            <w:pPr>
              <w:pStyle w:val="9"/>
              <w:spacing w:before="97"/>
              <w:ind w:left="71" w:right="56"/>
              <w:jc w:val="center"/>
              <w:rPr>
                <w:rFonts w:hint="default"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100</w:t>
            </w:r>
          </w:p>
        </w:tc>
        <w:tc>
          <w:tcPr>
            <w:tcW w:w="1063" w:type="dxa"/>
            <w:gridSpan w:val="2"/>
          </w:tcPr>
          <w:p>
            <w:pPr>
              <w:pStyle w:val="9"/>
              <w:spacing w:before="97"/>
              <w:ind w:left="71" w:right="56"/>
              <w:jc w:val="center"/>
              <w:rPr>
                <w:rFonts w:hint="eastAsia" w:ascii="宋体" w:hAnsi="宋体" w:eastAsia="宋体" w:cs="宋体"/>
                <w:kern w:val="2"/>
                <w:sz w:val="18"/>
                <w:szCs w:val="22"/>
                <w:lang w:val="zh-CN" w:eastAsia="zh-CN" w:bidi="zh-CN"/>
              </w:rPr>
            </w:pPr>
          </w:p>
        </w:tc>
      </w:tr>
    </w:tbl>
    <w:p>
      <w:pPr>
        <w:pBdr>
          <w:bottom w:val="single" w:color="FFFFFF" w:sz="4" w:space="31"/>
        </w:pBdr>
        <w:adjustRightInd w:val="0"/>
        <w:snapToGrid w:val="0"/>
        <w:spacing w:line="600" w:lineRule="exact"/>
        <w:ind w:firstLine="643"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（三）财政评价项目绩效评价结果</w:t>
      </w:r>
      <w:r>
        <w:rPr>
          <w:rFonts w:hint="eastAsia" w:ascii="仿宋_GB2312" w:hAnsi="仿宋_GB2312" w:eastAsia="仿宋_GB2312" w:cs="仿宋_GB2312"/>
          <w:b/>
          <w:bCs/>
          <w:sz w:val="32"/>
          <w:szCs w:val="32"/>
          <w:lang w:val="en-US" w:eastAsia="zh-CN"/>
        </w:rPr>
        <w:t xml:space="preserve"> ：  无</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ascii="仿宋_GB2312" w:hAnsi="仿宋_GB2312" w:eastAsia="仿宋_GB2312" w:cs="仿宋_GB2312"/>
          <w:sz w:val="32"/>
          <w:szCs w:val="32"/>
        </w:rPr>
      </w:pPr>
      <w:r>
        <w:rPr>
          <w:rFonts w:hint="eastAsia" w:ascii="黑体" w:hAnsi="Calibri" w:eastAsia="黑体" w:cs="Times New Roman"/>
          <w:sz w:val="32"/>
          <w:szCs w:val="32"/>
          <w:lang w:val="en-US" w:eastAsia="zh-CN"/>
        </w:rPr>
        <w:t xml:space="preserve">    </w:t>
      </w:r>
      <w:r>
        <w:rPr>
          <w:rFonts w:hint="eastAsia" w:ascii="黑体" w:hAnsi="Calibri" w:eastAsia="黑体" w:cs="Times New Roman"/>
          <w:sz w:val="32"/>
          <w:szCs w:val="32"/>
        </w:rPr>
        <w:t>七、机关运行经费情况</w:t>
      </w:r>
    </w:p>
    <w:p>
      <w:pPr>
        <w:adjustRightInd w:val="0"/>
        <w:snapToGrid w:val="0"/>
        <w:spacing w:line="580" w:lineRule="exact"/>
        <w:ind w:firstLine="640" w:firstLineChars="200"/>
        <w:rPr>
          <w:rFonts w:hint="eastAsia" w:ascii="仿宋_GB2312" w:hAnsi="Times New Roman" w:eastAsia="仿宋_GB2312" w:cs="DengXian-Regular"/>
          <w:sz w:val="32"/>
          <w:szCs w:val="32"/>
          <w:highlight w:val="none"/>
          <w:lang w:eastAsia="zh-CN"/>
        </w:rPr>
      </w:pPr>
      <w:r>
        <w:rPr>
          <w:rFonts w:hint="eastAsia" w:ascii="仿宋_GB2312" w:hAnsi="Times New Roman" w:eastAsia="仿宋_GB2312" w:cs="DengXian-Regular"/>
          <w:sz w:val="32"/>
          <w:szCs w:val="32"/>
          <w:highlight w:val="none"/>
          <w:lang w:eastAsia="zh-CN"/>
        </w:rPr>
        <w:t>我单位为</w:t>
      </w:r>
      <w:r>
        <w:rPr>
          <w:rFonts w:hint="eastAsia" w:ascii="仿宋_GB2312" w:hAnsi="Times New Roman" w:eastAsia="仿宋_GB2312" w:cs="DengXian-Regular"/>
          <w:sz w:val="32"/>
          <w:szCs w:val="32"/>
          <w:highlight w:val="none"/>
        </w:rPr>
        <w:t>事业单位无机关运行经费</w:t>
      </w:r>
      <w:r>
        <w:rPr>
          <w:rFonts w:hint="eastAsia" w:ascii="仿宋_GB2312" w:hAnsi="Times New Roman" w:eastAsia="仿宋_GB2312" w:cs="DengXian-Regular"/>
          <w:sz w:val="32"/>
          <w:szCs w:val="32"/>
          <w:highlight w:val="none"/>
          <w:lang w:eastAsia="zh-CN"/>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八、政府采购情况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highlight w:val="none"/>
        </w:rPr>
        <w:t>本部门2021年度政府采购支出总额</w:t>
      </w:r>
      <w:r>
        <w:rPr>
          <w:rFonts w:hint="eastAsia" w:ascii="仿宋_GB2312" w:hAnsi="Times New Roman" w:eastAsia="仿宋_GB2312" w:cs="DengXian-Regular"/>
          <w:sz w:val="32"/>
          <w:szCs w:val="32"/>
          <w:highlight w:val="none"/>
          <w:lang w:val="en-US" w:eastAsia="zh-CN"/>
        </w:rPr>
        <w:t>2.48</w:t>
      </w:r>
      <w:r>
        <w:rPr>
          <w:rFonts w:hint="eastAsia" w:ascii="仿宋_GB2312" w:hAnsi="Times New Roman" w:eastAsia="仿宋_GB2312" w:cs="DengXian-Regular"/>
          <w:sz w:val="32"/>
          <w:szCs w:val="32"/>
          <w:highlight w:val="none"/>
        </w:rPr>
        <w:t>万元，从采购类型来看，</w:t>
      </w:r>
      <w:r>
        <w:rPr>
          <w:rFonts w:ascii="仿宋_GB2312" w:hAnsi="仿宋_GB2312" w:eastAsia="仿宋_GB2312" w:cs="仿宋_GB2312"/>
          <w:color w:val="000000"/>
          <w:kern w:val="0"/>
          <w:sz w:val="32"/>
          <w:szCs w:val="32"/>
          <w:highlight w:val="none"/>
          <w:lang w:bidi="ar"/>
        </w:rPr>
        <w:t>政府采购货物支出</w:t>
      </w:r>
      <w:r>
        <w:rPr>
          <w:rFonts w:hint="eastAsia" w:ascii="仿宋_GB2312" w:hAnsi="仿宋_GB2312" w:eastAsia="仿宋_GB2312" w:cs="仿宋_GB2312"/>
          <w:color w:val="000000"/>
          <w:kern w:val="0"/>
          <w:sz w:val="32"/>
          <w:szCs w:val="32"/>
          <w:highlight w:val="none"/>
          <w:lang w:val="en-US" w:eastAsia="zh-CN" w:bidi="ar"/>
        </w:rPr>
        <w:t>2.48</w:t>
      </w:r>
      <w:r>
        <w:rPr>
          <w:rFonts w:ascii="仿宋_GB2312" w:hAnsi="仿宋_GB2312" w:eastAsia="仿宋_GB2312" w:cs="仿宋_GB2312"/>
          <w:color w:val="000000"/>
          <w:kern w:val="0"/>
          <w:sz w:val="32"/>
          <w:szCs w:val="32"/>
          <w:highlight w:val="none"/>
          <w:lang w:bidi="ar"/>
        </w:rPr>
        <w:t>万元、政府采购工程支出</w:t>
      </w:r>
      <w:r>
        <w:rPr>
          <w:rFonts w:hint="eastAsia" w:ascii="仿宋_GB2312" w:hAnsi="仿宋_GB2312" w:eastAsia="仿宋_GB2312" w:cs="仿宋_GB2312"/>
          <w:color w:val="000000"/>
          <w:kern w:val="0"/>
          <w:sz w:val="32"/>
          <w:szCs w:val="32"/>
          <w:highlight w:val="none"/>
          <w:lang w:val="en-US" w:eastAsia="zh-CN" w:bidi="ar"/>
        </w:rPr>
        <w:t>0</w:t>
      </w:r>
      <w:r>
        <w:rPr>
          <w:rFonts w:ascii="仿宋_GB2312" w:hAnsi="仿宋_GB2312" w:eastAsia="仿宋_GB2312" w:cs="仿宋_GB2312"/>
          <w:color w:val="000000"/>
          <w:kern w:val="0"/>
          <w:sz w:val="32"/>
          <w:szCs w:val="32"/>
          <w:highlight w:val="none"/>
          <w:lang w:bidi="ar"/>
        </w:rPr>
        <w:t>万元、政府采购服务支出</w:t>
      </w:r>
      <w:r>
        <w:rPr>
          <w:rFonts w:hint="eastAsia" w:ascii="仿宋_GB2312" w:hAnsi="仿宋_GB2312" w:eastAsia="仿宋_GB2312" w:cs="仿宋_GB2312"/>
          <w:color w:val="000000"/>
          <w:kern w:val="0"/>
          <w:sz w:val="32"/>
          <w:szCs w:val="32"/>
          <w:highlight w:val="none"/>
          <w:lang w:val="en-US" w:eastAsia="zh-CN" w:bidi="ar"/>
        </w:rPr>
        <w:t>0</w:t>
      </w:r>
      <w:r>
        <w:rPr>
          <w:rFonts w:ascii="仿宋_GB2312" w:hAnsi="仿宋_GB2312" w:eastAsia="仿宋_GB2312" w:cs="仿宋_GB2312"/>
          <w:color w:val="000000"/>
          <w:kern w:val="0"/>
          <w:sz w:val="32"/>
          <w:szCs w:val="32"/>
          <w:highlight w:val="none"/>
          <w:lang w:bidi="ar"/>
        </w:rPr>
        <w:t>万元。授予中小企业合同</w:t>
      </w:r>
      <w:r>
        <w:rPr>
          <w:rFonts w:ascii="仿宋_GB2312" w:hAnsi="仿宋_GB2312" w:eastAsia="仿宋_GB2312" w:cs="仿宋_GB2312"/>
          <w:color w:val="000000"/>
          <w:kern w:val="0"/>
          <w:sz w:val="32"/>
          <w:szCs w:val="32"/>
          <w:lang w:bidi="ar"/>
        </w:rPr>
        <w:t>金</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w:t>
      </w:r>
      <w:r>
        <w:rPr>
          <w:rFonts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 xml:space="preserve">万元，占政府采购支出总额的 </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w:t>
      </w:r>
    </w:p>
    <w:p>
      <w:pPr>
        <w:snapToGrid w:val="0"/>
        <w:spacing w:line="580" w:lineRule="exact"/>
        <w:ind w:firstLine="640" w:firstLineChars="200"/>
        <w:jc w:val="left"/>
        <w:rPr>
          <w:rFonts w:ascii="仿宋_GB2312" w:hAnsi="Times New Roman" w:eastAsia="仿宋_GB2312" w:cs="DengXian-Regular"/>
          <w:sz w:val="32"/>
          <w:szCs w:val="32"/>
          <w:highlight w:val="yellow"/>
        </w:rPr>
      </w:pPr>
      <w:r>
        <w:rPr>
          <w:rFonts w:hint="eastAsia" w:ascii="黑体" w:hAnsi="Calibri" w:eastAsia="黑体" w:cs="Times New Roman"/>
          <w:sz w:val="32"/>
          <w:szCs w:val="32"/>
        </w:rPr>
        <w:t>九、国有资产占用情况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截至2021年12月31日，本部门共有车辆</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辆，与上年度持平。其中，副部（省）级及以上领导用车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台（套），与上年度持平 ，单位价值</w:t>
      </w:r>
      <w:r>
        <w:rPr>
          <w:rFonts w:hint="eastAsia"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比与上年度持平。</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黑体" w:hAnsi="Calibri" w:eastAsia="黑体" w:cs="Times New Roman"/>
          <w:sz w:val="32"/>
          <w:szCs w:val="32"/>
        </w:rPr>
        <w:t>十、其他需要说明的情况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 本部门 2021 年度未发生政府性基金预算、国有资金经营 预算收支及结转结余情况，故政府性基金预算财政拨款收入支出决 算表、国有资本经营预算财政拨款支出决算表以空表列示。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both"/>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ind w:firstLine="2560" w:firstLineChars="800"/>
        <w:jc w:val="both"/>
        <w:rPr>
          <w:sz w:val="44"/>
          <w:szCs w:val="44"/>
          <w14:textOutline w14:w="9525" w14:cap="flat" w14:cmpd="sng" w14:algn="ctr">
            <w14:solidFill>
              <w14:schemeClr w14:val="tx1">
                <w14:lumMod w14:val="50000"/>
                <w14:lumOff w14:val="50000"/>
              </w14:schemeClr>
            </w14:solidFill>
            <w14:prstDash w14:val="solid"/>
            <w14:round/>
          </w14:textOutline>
        </w:rPr>
      </w:pPr>
      <w:r>
        <w:rPr>
          <w:rFonts w:hint="eastAsia" w:ascii="仿宋_GB2312" w:hAnsi="宋体" w:eastAsia="仿宋_GB2312" w:cs="Times New Roman"/>
          <w:color w:val="000000"/>
          <w:kern w:val="0"/>
          <w:sz w:val="32"/>
          <w:szCs w:val="32"/>
        </w:rPr>
        <w:drawing>
          <wp:anchor distT="0" distB="0" distL="114300" distR="114300" simplePos="0" relativeHeight="251670528" behindDoc="0" locked="0" layoutInCell="1" allowOverlap="1">
            <wp:simplePos x="0" y="0"/>
            <wp:positionH relativeFrom="column">
              <wp:posOffset>819150</wp:posOffset>
            </wp:positionH>
            <wp:positionV relativeFrom="margin">
              <wp:posOffset>-60325</wp:posOffset>
            </wp:positionV>
            <wp:extent cx="640080" cy="640080"/>
            <wp:effectExtent l="0" t="0" r="7620" b="7620"/>
            <wp:wrapNone/>
            <wp:docPr id="76" name="图片 76" descr="32313535383135393b32313535383230393bcbb5c3f7c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32313535383135393b32313535383230393bcbb5c3f7cae9"/>
                    <pic:cNvPicPr>
                      <a:picLocks noChangeAspect="1"/>
                    </pic:cNvPicPr>
                  </pic:nvPicPr>
                  <pic:blipFill>
                    <a:blip r:embed="rId20"/>
                    <a:stretch>
                      <a:fillRect/>
                    </a:stretch>
                  </pic:blipFill>
                  <pic:spPr>
                    <a:xfrm>
                      <a:off x="0" y="0"/>
                      <a:ext cx="640080" cy="640080"/>
                    </a:xfrm>
                    <a:prstGeom prst="rect">
                      <a:avLst/>
                    </a:prstGeom>
                  </pic:spPr>
                </pic:pic>
              </a:graphicData>
            </a:graphic>
          </wp:anchor>
        </w:drawing>
      </w: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第四部分 相关名词解释</w:t>
      </w:r>
    </w:p>
    <w:p>
      <w:pPr>
        <w:rPr>
          <w:rFonts w:ascii="仿宋_GB2312" w:hAnsi="宋体" w:eastAsia="仿宋_GB2312" w:cs="ArialUnicodeMS"/>
          <w:sz w:val="32"/>
          <w:szCs w:val="32"/>
        </w:rPr>
      </w:pPr>
    </w:p>
    <w:p>
      <w:pPr>
        <w:rPr>
          <w:rFonts w:ascii="仿宋_GB2312" w:hAnsi="宋体" w:eastAsia="仿宋_GB2312" w:cs="ArialUnicodeMS"/>
          <w:sz w:val="32"/>
          <w:szCs w:val="32"/>
        </w:rPr>
      </w:pPr>
      <w:r>
        <w:rPr>
          <w:rFonts w:hint="eastAsia" w:ascii="仿宋_GB2312" w:hAnsi="宋体" w:eastAsia="仿宋_GB2312" w:cs="ArialUnicodeMS"/>
          <w:sz w:val="32"/>
          <w:szCs w:val="32"/>
        </w:rPr>
        <w:br w:type="page"/>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方正魏碑简体">
    <w:altName w:val="微软雅黑"/>
    <w:panose1 w:val="00000000000000000000"/>
    <w:charset w:val="86"/>
    <w:family w:val="auto"/>
    <w:pitch w:val="default"/>
    <w:sig w:usb0="00000000" w:usb1="00000000" w:usb2="00000010" w:usb3="00000000" w:csb0="00040000" w:csb1="00000000"/>
  </w:font>
  <w:font w:name="思源黑体 CN Heavy">
    <w:altName w:val="宋体"/>
    <w:panose1 w:val="00000000000000000000"/>
    <w:charset w:val="86"/>
    <w:family w:val="swiss"/>
    <w:pitch w:val="default"/>
    <w:sig w:usb0="00000000" w:usb1="00000000" w:usb2="00000016" w:usb3="00000000" w:csb0="00060107" w:csb1="00000000"/>
  </w:font>
  <w:font w:name="思源黑体 CN Bold">
    <w:altName w:val="宋体"/>
    <w:panose1 w:val="00000000000000000000"/>
    <w:charset w:val="86"/>
    <w:family w:val="swiss"/>
    <w:pitch w:val="default"/>
    <w:sig w:usb0="00000000" w:usb1="00000000" w:usb2="00000016" w:usb3="00000000" w:csb0="00060107" w:csb1="00000000"/>
  </w:font>
  <w:font w:name="仿宋_GB2312">
    <w:altName w:val="仿宋"/>
    <w:panose1 w:val="02010609030101010101"/>
    <w:charset w:val="86"/>
    <w:family w:val="modern"/>
    <w:pitch w:val="default"/>
    <w:sig w:usb0="00000000" w:usb1="00000000" w:usb2="00000000" w:usb3="00000000" w:csb0="00040000" w:csb1="00000000"/>
  </w:font>
  <w:font w:name="ArialUnicodeMS">
    <w:altName w:val="Malgun Gothic"/>
    <w:panose1 w:val="00000000000000000000"/>
    <w:charset w:val="81"/>
    <w:family w:val="auto"/>
    <w:pitch w:val="default"/>
    <w:sig w:usb0="00000000" w:usb1="00000000" w:usb2="00000010" w:usb3="00000000" w:csb0="00080001" w:csb1="00000000"/>
  </w:font>
  <w:font w:name="Arial Black">
    <w:panose1 w:val="020B0A04020102020204"/>
    <w:charset w:val="00"/>
    <w:family w:val="swiss"/>
    <w:pitch w:val="default"/>
    <w:sig w:usb0="A00002AF" w:usb1="400078FB" w:usb2="00000000" w:usb3="00000000" w:csb0="6000009F" w:csb1="DFD70000"/>
  </w:font>
  <w:font w:name="Cambria">
    <w:panose1 w:val="02040503050406030204"/>
    <w:charset w:val="00"/>
    <w:family w:val="roman"/>
    <w:pitch w:val="default"/>
    <w:sig w:usb0="E00006FF" w:usb1="420024FF" w:usb2="02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86"/>
    <w:family w:val="auto"/>
    <w:pitch w:val="default"/>
    <w:sig w:usb0="00000000" w:usb1="00000000" w:usb2="00000010" w:usb3="00000000" w:csb0="00040000" w:csb1="00000000"/>
  </w:font>
  <w:font w:name="MS-UIGothic,Bold">
    <w:altName w:val="Malgun Gothic"/>
    <w:panose1 w:val="00000000000000000000"/>
    <w:charset w:val="81"/>
    <w:family w:val="auto"/>
    <w:pitch w:val="default"/>
    <w:sig w:usb0="00000000" w:usb1="00000000" w:usb2="00000010" w:usb3="00000000" w:csb0="0008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NzUsImhkaWQiOiI2MTQ3ZmU5MmQxZTBlZmRlMjlmZTRhZGQ0OGQxMTY3NCIsInVzZXJDb3VudCI6MX0="/>
  </w:docVars>
  <w:rsids>
    <w:rsidRoot w:val="00172A27"/>
    <w:rsid w:val="000031F7"/>
    <w:rsid w:val="00014862"/>
    <w:rsid w:val="00172A27"/>
    <w:rsid w:val="004550B9"/>
    <w:rsid w:val="0051575E"/>
    <w:rsid w:val="005B2633"/>
    <w:rsid w:val="00663586"/>
    <w:rsid w:val="007B4464"/>
    <w:rsid w:val="00896712"/>
    <w:rsid w:val="008E5668"/>
    <w:rsid w:val="009718A8"/>
    <w:rsid w:val="00A66109"/>
    <w:rsid w:val="00B86E38"/>
    <w:rsid w:val="00C21492"/>
    <w:rsid w:val="00C418F5"/>
    <w:rsid w:val="00CE4C2D"/>
    <w:rsid w:val="00CE755E"/>
    <w:rsid w:val="00D264B9"/>
    <w:rsid w:val="00DA0B17"/>
    <w:rsid w:val="00DF42C4"/>
    <w:rsid w:val="00DF688D"/>
    <w:rsid w:val="00E669B9"/>
    <w:rsid w:val="00E86E79"/>
    <w:rsid w:val="00FC3F68"/>
    <w:rsid w:val="018E53BB"/>
    <w:rsid w:val="01B752BF"/>
    <w:rsid w:val="02522953"/>
    <w:rsid w:val="02F2691F"/>
    <w:rsid w:val="03A969E1"/>
    <w:rsid w:val="05273E55"/>
    <w:rsid w:val="064424ED"/>
    <w:rsid w:val="06EB1AB6"/>
    <w:rsid w:val="099D6B31"/>
    <w:rsid w:val="09FD66D9"/>
    <w:rsid w:val="0A103AD0"/>
    <w:rsid w:val="0B8B4E49"/>
    <w:rsid w:val="0E580FBF"/>
    <w:rsid w:val="10B242CF"/>
    <w:rsid w:val="11DE6CD0"/>
    <w:rsid w:val="11F4604E"/>
    <w:rsid w:val="136D16FB"/>
    <w:rsid w:val="13AA21BF"/>
    <w:rsid w:val="16F20A3A"/>
    <w:rsid w:val="1959010D"/>
    <w:rsid w:val="1996709C"/>
    <w:rsid w:val="19AE61EC"/>
    <w:rsid w:val="1A3D2C72"/>
    <w:rsid w:val="1B844DE8"/>
    <w:rsid w:val="1CAC06B2"/>
    <w:rsid w:val="1FEF1ECF"/>
    <w:rsid w:val="216937C4"/>
    <w:rsid w:val="21807475"/>
    <w:rsid w:val="24C525F3"/>
    <w:rsid w:val="259F1096"/>
    <w:rsid w:val="294B6B6C"/>
    <w:rsid w:val="298605CB"/>
    <w:rsid w:val="2B5D1F00"/>
    <w:rsid w:val="2CEF036C"/>
    <w:rsid w:val="32A31C4C"/>
    <w:rsid w:val="32B53CA7"/>
    <w:rsid w:val="32CF783B"/>
    <w:rsid w:val="32F673C9"/>
    <w:rsid w:val="33CD2241"/>
    <w:rsid w:val="342108C7"/>
    <w:rsid w:val="34251FAE"/>
    <w:rsid w:val="34967CFD"/>
    <w:rsid w:val="39C2416B"/>
    <w:rsid w:val="3B744E3E"/>
    <w:rsid w:val="3BAE05D2"/>
    <w:rsid w:val="3C4819A3"/>
    <w:rsid w:val="3DC91A1B"/>
    <w:rsid w:val="3F062F70"/>
    <w:rsid w:val="3F235BB1"/>
    <w:rsid w:val="3F663581"/>
    <w:rsid w:val="42A44BF6"/>
    <w:rsid w:val="4513749F"/>
    <w:rsid w:val="45217DD8"/>
    <w:rsid w:val="4571549B"/>
    <w:rsid w:val="471274FD"/>
    <w:rsid w:val="49717ADD"/>
    <w:rsid w:val="49DD31D7"/>
    <w:rsid w:val="49E9558D"/>
    <w:rsid w:val="4A51609B"/>
    <w:rsid w:val="4AED6BC6"/>
    <w:rsid w:val="4C194D3B"/>
    <w:rsid w:val="4D304C6C"/>
    <w:rsid w:val="4E441482"/>
    <w:rsid w:val="4E8924AA"/>
    <w:rsid w:val="4EEA470C"/>
    <w:rsid w:val="4F2A6A41"/>
    <w:rsid w:val="4FBC6A80"/>
    <w:rsid w:val="500373A2"/>
    <w:rsid w:val="51CF6B7F"/>
    <w:rsid w:val="53AD746D"/>
    <w:rsid w:val="561769D4"/>
    <w:rsid w:val="56AC73CE"/>
    <w:rsid w:val="577A2BC3"/>
    <w:rsid w:val="57CE3388"/>
    <w:rsid w:val="58D844B0"/>
    <w:rsid w:val="59DE0522"/>
    <w:rsid w:val="5A842A94"/>
    <w:rsid w:val="5AB64FC7"/>
    <w:rsid w:val="5E6427D4"/>
    <w:rsid w:val="5F4A1A8C"/>
    <w:rsid w:val="60075621"/>
    <w:rsid w:val="602001C2"/>
    <w:rsid w:val="60CE32E1"/>
    <w:rsid w:val="626F35C2"/>
    <w:rsid w:val="63A07D3E"/>
    <w:rsid w:val="64C00985"/>
    <w:rsid w:val="65225D26"/>
    <w:rsid w:val="65DB5CBA"/>
    <w:rsid w:val="66693DD5"/>
    <w:rsid w:val="674E6C15"/>
    <w:rsid w:val="67636EEB"/>
    <w:rsid w:val="697609B2"/>
    <w:rsid w:val="69F4671F"/>
    <w:rsid w:val="6A627018"/>
    <w:rsid w:val="6C4331AB"/>
    <w:rsid w:val="6CBF282C"/>
    <w:rsid w:val="6E1138AE"/>
    <w:rsid w:val="6EC759B4"/>
    <w:rsid w:val="6FEA2CF2"/>
    <w:rsid w:val="70347787"/>
    <w:rsid w:val="70433998"/>
    <w:rsid w:val="71AB729D"/>
    <w:rsid w:val="727F3D7E"/>
    <w:rsid w:val="72A252EE"/>
    <w:rsid w:val="73335BEE"/>
    <w:rsid w:val="734B3BFA"/>
    <w:rsid w:val="73753308"/>
    <w:rsid w:val="76947814"/>
    <w:rsid w:val="777B42FC"/>
    <w:rsid w:val="79442C5B"/>
    <w:rsid w:val="7BB011B5"/>
    <w:rsid w:val="7C2A2F43"/>
    <w:rsid w:val="7CD94836"/>
    <w:rsid w:val="7DB44519"/>
    <w:rsid w:val="7E08020E"/>
    <w:rsid w:val="7EAD4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Title"/>
    <w:basedOn w:val="1"/>
    <w:next w:val="1"/>
    <w:qFormat/>
    <w:uiPriority w:val="10"/>
    <w:pPr>
      <w:jc w:val="center"/>
    </w:pPr>
    <w:rPr>
      <w:rFonts w:ascii="Times New Roman" w:hAnsi="Times New Roman" w:eastAsia="Times New Roman"/>
      <w:b/>
      <w:sz w:val="32"/>
      <w:szCs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0"/>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6.png"/><Relationship Id="rId2" Type="http://schemas.openxmlformats.org/officeDocument/2006/relationships/settings" Target="settings.xml"/><Relationship Id="rId19" Type="http://schemas.openxmlformats.org/officeDocument/2006/relationships/chart" Target="charts/chart6.xml"/><Relationship Id="rId18" Type="http://schemas.openxmlformats.org/officeDocument/2006/relationships/chart" Target="charts/chart5.xml"/><Relationship Id="rId17" Type="http://schemas.openxmlformats.org/officeDocument/2006/relationships/chart" Target="charts/chart4.xml"/><Relationship Id="rId16" Type="http://schemas.openxmlformats.org/officeDocument/2006/relationships/chart" Target="charts/chart3.xml"/><Relationship Id="rId15" Type="http://schemas.openxmlformats.org/officeDocument/2006/relationships/chart" Target="charts/chart2.xml"/><Relationship Id="rId14" Type="http://schemas.openxmlformats.org/officeDocument/2006/relationships/chart" Target="charts/chart1.xml"/><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F:\&#26446;&#32418;&#34122;&#25991;&#20214;\&#34892;&#25919;&#20107;&#19994;&#21333;&#20301;&#36164;&#26009;\2021&#24180;&#20915;&#31639;&#20844;&#24320;\&#22270;&#22411;(1).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F:\&#26446;&#32418;&#34122;&#25991;&#20214;\&#34892;&#25919;&#20107;&#19994;&#21333;&#20301;&#36164;&#26009;\2021&#24180;&#20915;&#31639;&#20844;&#24320;\&#22270;&#2241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zh-CN"/>
              <a:t>收支总计</a:t>
            </a:r>
            <a:endParaRPr altLang="zh-CN"/>
          </a:p>
        </c:rich>
      </c:tx>
      <c:layout>
        <c:manualLayout>
          <c:xMode val="edge"/>
          <c:yMode val="edge"/>
          <c:x val="0.406771870690976"/>
          <c:y val="0.039609189331925"/>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收支总计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Sheet1!$A$2:$A$3</c:f>
              <c:strCache>
                <c:ptCount val="2"/>
                <c:pt idx="0">
                  <c:v>2021年收支</c:v>
                </c:pt>
                <c:pt idx="1">
                  <c:v>2020年收支</c:v>
                </c:pt>
              </c:strCache>
            </c:strRef>
          </c:cat>
          <c:val>
            <c:numRef>
              <c:f>Sheet1!$B$2:$B$3</c:f>
              <c:numCache>
                <c:formatCode>General</c:formatCode>
                <c:ptCount val="2"/>
                <c:pt idx="0">
                  <c:v>173.57</c:v>
                </c:pt>
                <c:pt idx="1">
                  <c:v>134.3</c:v>
                </c:pt>
              </c:numCache>
            </c:numRef>
          </c:val>
        </c:ser>
        <c:dLbls>
          <c:showLegendKey val="0"/>
          <c:showVal val="1"/>
          <c:showCatName val="0"/>
          <c:showSerName val="0"/>
          <c:showPercent val="0"/>
          <c:showBubbleSize val="0"/>
        </c:dLbls>
        <c:gapWidth val="219"/>
        <c:overlap val="-27"/>
        <c:axId val="50975873"/>
        <c:axId val="379560398"/>
      </c:barChart>
      <c:catAx>
        <c:axId val="5097587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9560398"/>
        <c:crosses val="autoZero"/>
        <c:auto val="1"/>
        <c:lblAlgn val="ctr"/>
        <c:lblOffset val="100"/>
        <c:noMultiLvlLbl val="0"/>
      </c:catAx>
      <c:valAx>
        <c:axId val="37956039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9758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2"/>
                </a:solidFill>
                <a:latin typeface="+mn-lt"/>
                <a:ea typeface="+mn-ea"/>
                <a:cs typeface="+mn-cs"/>
              </a:defRPr>
            </a:pPr>
            <a:r>
              <a:t>收入决算构成说明</a:t>
            </a:r>
          </a:p>
        </c:rich>
      </c:tx>
      <c:layout/>
      <c:overlay val="0"/>
      <c:spPr>
        <a:noFill/>
        <a:ln>
          <a:noFill/>
        </a:ln>
        <a:effectLst/>
      </c:spPr>
    </c:title>
    <c:autoTitleDeleted val="0"/>
    <c:plotArea>
      <c:layout/>
      <c:pieChart>
        <c:varyColors val="1"/>
        <c:ser>
          <c:idx val="0"/>
          <c:order val="0"/>
          <c:spPr/>
          <c:explosion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Lbls>
            <c:dLbl>
              <c:idx val="0"/>
              <c:layout>
                <c:manualLayout>
                  <c:x val="-0.0961538461538462"/>
                  <c:y val="-0.184466019417476"/>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586704607147537"/>
                  <c:y val="0.160123308057544"/>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Sheet1!$A$4:$B$4</c:f>
              <c:strCache>
                <c:ptCount val="2"/>
                <c:pt idx="0">
                  <c:v>财政拨款收入</c:v>
                </c:pt>
                <c:pt idx="1">
                  <c:v>其他收入</c:v>
                </c:pt>
              </c:strCache>
            </c:strRef>
          </c:cat>
          <c:val>
            <c:numRef>
              <c:f>Sheet1!$A$5:$B$5</c:f>
              <c:numCache>
                <c:formatCode>#,##0.00</c:formatCode>
                <c:ptCount val="2"/>
                <c:pt idx="0">
                  <c:v>151.2</c:v>
                </c:pt>
                <c:pt idx="1" c:formatCode="General">
                  <c:v>1.37</c:v>
                </c:pt>
              </c:numCache>
            </c:numRef>
          </c:val>
        </c:ser>
        <c:dLbls>
          <c:showLegendKey val="0"/>
          <c:showVal val="0"/>
          <c:showCatName val="1"/>
          <c:showSerName val="0"/>
          <c:showPercent val="1"/>
          <c:showBubbleSize val="0"/>
          <c:showLeaderLines val="1"/>
        </c:dLbls>
        <c:firstSliceAng val="15"/>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支出决算构成情况</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96.01</c:v>
                </c:pt>
                <c:pt idx="1">
                  <c:v>25.03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财政拨款收支对比情况</a:t>
            </a:r>
          </a:p>
        </c:rich>
      </c:tx>
      <c:layout>
        <c:manualLayout>
          <c:xMode val="edge"/>
          <c:yMode val="edge"/>
          <c:x val="0.285353148460242"/>
          <c:y val="0.03168735146554"/>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Lbl>
              <c:idx val="0"/>
              <c:layout>
                <c:manualLayout>
                  <c:x val="-0.00689443848628773"/>
                  <c:y val="-0.0990229733298125"/>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448363473322373"/>
                  <c:y val="-0.103806228373702"/>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448363473322373"/>
                  <c:y val="-0.103806228373702"/>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224181736661187"/>
                  <c:y val="-0.103806228373702"/>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Sheet1!$A$2:$A$5</c:f>
              <c:strCache>
                <c:ptCount val="4"/>
                <c:pt idx="0">
                  <c:v>2021年收入</c:v>
                </c:pt>
                <c:pt idx="1">
                  <c:v>2020年收入</c:v>
                </c:pt>
                <c:pt idx="2">
                  <c:v>2021年支出</c:v>
                </c:pt>
                <c:pt idx="3">
                  <c:v>2020年支出</c:v>
                </c:pt>
              </c:strCache>
            </c:strRef>
          </c:cat>
          <c:val>
            <c:numRef>
              <c:f>Sheet1!$B$2:$B$5</c:f>
              <c:numCache>
                <c:formatCode>General</c:formatCode>
                <c:ptCount val="4"/>
                <c:pt idx="0">
                  <c:v>151.2</c:v>
                </c:pt>
                <c:pt idx="1">
                  <c:v>97.16</c:v>
                </c:pt>
                <c:pt idx="2">
                  <c:v>121.01</c:v>
                </c:pt>
                <c:pt idx="3">
                  <c:v>101.62</c:v>
                </c:pt>
              </c:numCache>
            </c:numRef>
          </c:val>
        </c:ser>
        <c:dLbls>
          <c:showLegendKey val="0"/>
          <c:showVal val="1"/>
          <c:showCatName val="0"/>
          <c:showSerName val="0"/>
          <c:showPercent val="0"/>
          <c:showBubbleSize val="0"/>
        </c:dLbls>
        <c:gapWidth val="219"/>
        <c:overlap val="-27"/>
        <c:axId val="50975873"/>
        <c:axId val="379560398"/>
      </c:barChart>
      <c:catAx>
        <c:axId val="5097587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9560398"/>
        <c:crosses val="autoZero"/>
        <c:auto val="1"/>
        <c:lblAlgn val="ctr"/>
        <c:lblOffset val="100"/>
        <c:noMultiLvlLbl val="0"/>
      </c:catAx>
      <c:valAx>
        <c:axId val="37956039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97587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1">
                    <a:lumMod val="65000"/>
                    <a:lumOff val="35000"/>
                  </a:schemeClr>
                </a:solidFill>
                <a:latin typeface="+mn-lt"/>
                <a:ea typeface="+mn-ea"/>
                <a:cs typeface="+mn-cs"/>
              </a:defRPr>
            </a:pPr>
            <a:r>
              <a:t>财政拨款收支与年初预算数对比图</a:t>
            </a:r>
          </a:p>
        </c:rich>
      </c:tx>
      <c:layout>
        <c:manualLayout>
          <c:xMode val="edge"/>
          <c:yMode val="edge"/>
          <c:x val="0.138271794086104"/>
          <c:y val="0.03168735146554"/>
        </c:manualLayout>
      </c:layout>
      <c:overlay val="0"/>
      <c:spPr>
        <a:noFill/>
        <a:ln>
          <a:noFill/>
        </a:ln>
        <a:effectLst/>
      </c:spPr>
    </c:title>
    <c:autoTitleDeleted val="0"/>
    <c:plotArea>
      <c:layout>
        <c:manualLayout>
          <c:layoutTarget val="inner"/>
          <c:xMode val="edge"/>
          <c:yMode val="edge"/>
          <c:x val="0.10320208365252"/>
          <c:y val="0.221547398996568"/>
          <c:w val="0.883775088095603"/>
          <c:h val="0.658938473725904"/>
        </c:manualLayout>
      </c:layout>
      <c:barChart>
        <c:barDir val="col"/>
        <c:grouping val="clustered"/>
        <c:varyColors val="0"/>
        <c:ser>
          <c:idx val="0"/>
          <c:order val="0"/>
          <c:tx>
            <c:strRef>
              <c:f>Sheet1!$B$1</c:f>
              <c:strCache>
                <c:ptCount val="1"/>
                <c:pt idx="0">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0.00229814616209591"/>
                  <c:y val="-0.102983892263005"/>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118827567995775"/>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229814616209591"/>
                  <c:y val="-0.102983892263005"/>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990229733298125"/>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Sheet1!$A$2:$A$5</c:f>
              <c:strCache>
                <c:ptCount val="4"/>
                <c:pt idx="0">
                  <c:v>收入决算数</c:v>
                </c:pt>
                <c:pt idx="1">
                  <c:v>收入预算数</c:v>
                </c:pt>
                <c:pt idx="2">
                  <c:v>支出决算数</c:v>
                </c:pt>
                <c:pt idx="3">
                  <c:v>支出预算数</c:v>
                </c:pt>
              </c:strCache>
            </c:strRef>
          </c:cat>
          <c:val>
            <c:numRef>
              <c:f>Sheet1!$B$2:$B$5</c:f>
              <c:numCache>
                <c:formatCode>General</c:formatCode>
                <c:ptCount val="4"/>
                <c:pt idx="0">
                  <c:v>151.2</c:v>
                </c:pt>
                <c:pt idx="1">
                  <c:v>129.65</c:v>
                </c:pt>
                <c:pt idx="2">
                  <c:v>121.01</c:v>
                </c:pt>
                <c:pt idx="3">
                  <c:v>129.65</c:v>
                </c:pt>
              </c:numCache>
            </c:numRef>
          </c:val>
        </c:ser>
        <c:ser>
          <c:idx val="1"/>
          <c:order val="1"/>
          <c:tx>
            <c:strRef>
              <c:f>Sheet1!#REF!</c:f>
              <c:strCache>
                <c:ptCount val="1"/>
                <c:pt idx="0">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elete val="1"/>
          </c:dLbls>
          <c:cat>
            <c:strRef>
              <c:f>Sheet1!$A$2:$A$5</c:f>
              <c:strCache>
                <c:ptCount val="4"/>
                <c:pt idx="0">
                  <c:v>收入决算数</c:v>
                </c:pt>
                <c:pt idx="1">
                  <c:v>收入预算数</c:v>
                </c:pt>
                <c:pt idx="2">
                  <c:v>支出决算数</c:v>
                </c:pt>
                <c:pt idx="3">
                  <c:v>支出预算数</c:v>
                </c:pt>
              </c:strCache>
            </c:strRef>
          </c:cat>
          <c:val>
            <c:numRef>
              <c:f>Sheet1!#REF!</c:f>
              <c:numCache>
                <c:formatCode>General</c:formatCode>
                <c:ptCount val="1"/>
                <c:pt idx="0">
                  <c:v>1</c:v>
                </c:pt>
              </c:numCache>
            </c:numRef>
          </c:val>
        </c:ser>
        <c:ser>
          <c:idx val="2"/>
          <c:order val="2"/>
          <c:tx>
            <c:strRef>
              <c:f>Sheet1!#REF!</c:f>
              <c:strCache>
                <c:ptCount val="1"/>
                <c:pt idx="0">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elete val="1"/>
          </c:dLbls>
          <c:cat>
            <c:strRef>
              <c:f>Sheet1!$A$2:$A$5</c:f>
              <c:strCache>
                <c:ptCount val="4"/>
                <c:pt idx="0">
                  <c:v>收入决算数</c:v>
                </c:pt>
                <c:pt idx="1">
                  <c:v>收入预算数</c:v>
                </c:pt>
                <c:pt idx="2">
                  <c:v>支出决算数</c:v>
                </c:pt>
                <c:pt idx="3">
                  <c:v>支出预算数</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100"/>
        <c:overlap val="-24"/>
        <c:axId val="50975873"/>
        <c:axId val="379560398"/>
      </c:barChart>
      <c:catAx>
        <c:axId val="50975873"/>
        <c:scaling>
          <c:orientation val="minMax"/>
        </c:scaling>
        <c:delete val="0"/>
        <c:axPos val="b"/>
        <c:majorTickMark val="none"/>
        <c:minorTickMark val="none"/>
        <c:tickLblPos val="nextTo"/>
        <c:spPr>
          <a:noFill/>
          <a:ln w="12700"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9560398"/>
        <c:crosses val="autoZero"/>
        <c:auto val="1"/>
        <c:lblAlgn val="ctr"/>
        <c:lblOffset val="100"/>
        <c:noMultiLvlLbl val="0"/>
      </c:catAx>
      <c:valAx>
        <c:axId val="37956039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97587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dPt>
          <c:dLbls>
            <c:dLbl>
              <c:idx val="0"/>
              <c:layout>
                <c:manualLayout>
                  <c:x val="-0.0562500000000007"/>
                  <c:y val="0.041666666666666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00887708802748"/>
                  <c:y val="0.0034722222222222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71120448462009"/>
                  <c:y val="0.039387103764221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222522939715217"/>
                  <c:y val="-0.065972222222222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Sheet1!$A$65:$E$65</c:f>
              <c:strCache>
                <c:ptCount val="5"/>
                <c:pt idx="0">
                  <c:v>社会保障和就业支出</c:v>
                </c:pt>
                <c:pt idx="1">
                  <c:v>卫生健康支出</c:v>
                </c:pt>
                <c:pt idx="2">
                  <c:v>住房保障支出</c:v>
                </c:pt>
                <c:pt idx="3">
                  <c:v>粮油物资储备支出</c:v>
                </c:pt>
              </c:strCache>
            </c:strRef>
          </c:cat>
          <c:val>
            <c:numRef>
              <c:f>Sheet1!$A$66:$E$66</c:f>
              <c:numCache>
                <c:formatCode>#,##0.00</c:formatCode>
                <c:ptCount val="5"/>
                <c:pt idx="0">
                  <c:v>14.38</c:v>
                </c:pt>
                <c:pt idx="1">
                  <c:v>0.47</c:v>
                </c:pt>
                <c:pt idx="2">
                  <c:v>7</c:v>
                </c:pt>
                <c:pt idx="3">
                  <c:v>99.15</c:v>
                </c:pt>
              </c:numCache>
            </c:numRef>
          </c:val>
        </c:ser>
        <c:dLbls>
          <c:showLegendKey val="0"/>
          <c:showVal val="0"/>
          <c:showCatName val="1"/>
          <c:showSerName val="0"/>
          <c:showPercent val="1"/>
          <c:showBubbleSize val="0"/>
          <c:showLeaderLines val="1"/>
        </c:dLbls>
        <c:firstSliceAng val="15"/>
      </c:pieChart>
      <c:spPr>
        <a:noFill/>
        <a:ln>
          <a:noFill/>
        </a:ln>
        <a:effectLst/>
      </c:spPr>
    </c:plotArea>
    <c:legend>
      <c:legendPos val="b"/>
      <c:legendEntry>
        <c:idx val="4"/>
        <c:delete val="1"/>
      </c:legendEntry>
      <c:layout>
        <c:manualLayout>
          <c:xMode val="edge"/>
          <c:yMode val="edge"/>
          <c:x val="0.109791666666667"/>
          <c:y val="0.91597222222222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6.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29</Pages>
  <Words>8238</Words>
  <Characters>9945</Characters>
  <Lines>82</Lines>
  <Paragraphs>23</Paragraphs>
  <TotalTime>5</TotalTime>
  <ScaleCrop>false</ScaleCrop>
  <LinksUpToDate>false</LinksUpToDate>
  <CharactersWithSpaces>10218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2022-08-11T02:40:00Z</dcterms:created>
  <dc:creator>王明新TIAD</dc:creator>
  <cp:lastModifiedBy>微信用户</cp:lastModifiedBy>
  <dcterms:modified xsi:type="dcterms:W3CDTF">2023-11-03T04:32:17Z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KSOTemplateUUID">
    <vt:lpwstr>v1.0_mb_S7ajbG3IpAnL1wSthNCxfw==</vt:lpwstr>
  </property>
  <property fmtid="{D5CDD505-2E9C-101B-9397-08002B2CF9AE}" pid="4" name="ICV">
    <vt:lpwstr>371687E0EDB948D5A232D39E6566E4F6_13</vt:lpwstr>
  </property>
</Properties>
</file>