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mc:AlternateContent>
          <mc:Choice Requires="wps">
            <w:drawing>
              <wp:anchor distT="0" distB="0" distL="114300" distR="114300" simplePos="0" relativeHeight="251662336" behindDoc="0" locked="0" layoutInCell="1" allowOverlap="1">
                <wp:simplePos x="0" y="0"/>
                <wp:positionH relativeFrom="column">
                  <wp:posOffset>771525</wp:posOffset>
                </wp:positionH>
                <wp:positionV relativeFrom="paragraph">
                  <wp:posOffset>6724015</wp:posOffset>
                </wp:positionV>
                <wp:extent cx="6482080" cy="121666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82080" cy="1216660"/>
                        </a:xfrm>
                        <a:prstGeom prst="rect">
                          <a:avLst/>
                        </a:prstGeom>
                        <a:noFill/>
                        <a:ln w="9525">
                          <a:noFill/>
                          <a:miter lim="800000"/>
                        </a:ln>
                      </wps:spPr>
                      <wps:txbx>
                        <w:txbxContent>
                          <w:p>
                            <w:pPr>
                              <w:spacing w:line="600" w:lineRule="auto"/>
                              <w:jc w:val="left"/>
                              <w:rPr>
                                <w:rFonts w:hint="eastAsia" w:ascii="楷体_GB2312" w:hAnsi="楷体_GB2312" w:eastAsia="黑体" w:cs="楷体_GB2312"/>
                                <w:color w:val="000000"/>
                                <w:sz w:val="40"/>
                                <w:szCs w:val="40"/>
                                <w:lang w:eastAsia="zh-CN"/>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承德市粮油质量检测中心</w:t>
                            </w:r>
                          </w:p>
                          <w:p>
                            <w:pPr>
                              <w:spacing w:line="600" w:lineRule="auto"/>
                              <w:jc w:val="left"/>
                              <w:rPr>
                                <w:rFonts w:hint="eastAsia" w:ascii="楷体_GB2312" w:hAnsi="楷体_GB2312" w:eastAsia="楷体_GB2312" w:cs="楷体_GB2312"/>
                                <w:color w:val="000000"/>
                                <w:sz w:val="40"/>
                                <w:szCs w:val="40"/>
                                <w:lang w:val="en-US"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0.75pt;margin-top:529.45pt;height:95.8pt;width:510.4pt;z-index:251662336;mso-width-relative:page;mso-height-relative:page;" filled="f" stroked="f" coordsize="21600,21600" o:gfxdata="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d&#10;jc+q2AAAAA4BAAAPAAAAAAAAAAEAIAAAACIAAABkcnMvZG93bnJldi54bWxQSwECFAAUAAAACACH&#10;TuJAapSUUiQCAAAqBAAADgAAAAAAAAABACAAAAAnAQAAZHJzL2Uyb0RvYy54bWxQSwUGAAAAAAYA&#10;BgBZAQAAvQUAAAAA&#10;">
                <v:fill on="f" focussize="0,0"/>
                <v:stroke on="f" miterlimit="8" joinstyle="miter"/>
                <v:imagedata o:title=""/>
                <o:lock v:ext="edit" aspectratio="f"/>
                <v:textbox>
                  <w:txbxContent>
                    <w:p>
                      <w:pPr>
                        <w:spacing w:line="600" w:lineRule="auto"/>
                        <w:jc w:val="left"/>
                        <w:rPr>
                          <w:rFonts w:hint="eastAsia" w:ascii="楷体_GB2312" w:hAnsi="楷体_GB2312" w:eastAsia="黑体" w:cs="楷体_GB2312"/>
                          <w:color w:val="000000"/>
                          <w:sz w:val="40"/>
                          <w:szCs w:val="40"/>
                          <w:lang w:eastAsia="zh-CN"/>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承德市粮油质量检测中心</w:t>
                      </w:r>
                    </w:p>
                    <w:p>
                      <w:pPr>
                        <w:spacing w:line="600" w:lineRule="auto"/>
                        <w:jc w:val="left"/>
                        <w:rPr>
                          <w:rFonts w:hint="eastAsia" w:ascii="楷体_GB2312" w:hAnsi="楷体_GB2312" w:eastAsia="楷体_GB2312" w:cs="楷体_GB2312"/>
                          <w:color w:val="000000"/>
                          <w:sz w:val="40"/>
                          <w:szCs w:val="40"/>
                          <w:lang w:val="en-US" w:eastAsia="zh-CN"/>
                        </w:rPr>
                      </w:pPr>
                    </w:p>
                  </w:txbxContent>
                </v:textbox>
              </v:shape>
            </w:pict>
          </mc:Fallback>
        </mc:AlternateContent>
      </w:r>
      <w:r>
        <w:drawing>
          <wp:anchor distT="0" distB="0" distL="114300" distR="114300" simplePos="0" relativeHeight="251659264" behindDoc="0" locked="0" layoutInCell="1" allowOverlap="1">
            <wp:simplePos x="0" y="0"/>
            <wp:positionH relativeFrom="margin">
              <wp:posOffset>-2820670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-179070</wp:posOffset>
                </wp:positionH>
                <wp:positionV relativeFrom="paragraph">
                  <wp:posOffset>-245110</wp:posOffset>
                </wp:positionV>
                <wp:extent cx="3510915" cy="999490"/>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3510915" cy="999490"/>
                        </a:xfrm>
                        <a:prstGeom prst="rect">
                          <a:avLst/>
                        </a:prstGeom>
                        <a:noFill/>
                      </wps:spPr>
                      <wps:txbx>
                        <w:txbxContent>
                          <w:p>
                            <w:pPr>
                              <w:jc w:val="left"/>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rtlCol="0">
                        <a:noAutofit/>
                      </wps:bodyPr>
                    </wps:wsp>
                  </a:graphicData>
                </a:graphic>
              </wp:anchor>
            </w:drawing>
          </mc:Choice>
          <mc:Fallback>
            <w:pict>
              <v:shape id="文本框 32" o:spid="_x0000_s1026" o:spt="202" type="#_x0000_t202" style="position:absolute;left:0pt;margin-left:-14.1pt;margin-top:-19.3pt;height:78.7pt;width:276.45pt;z-index:251660288;mso-width-relative:page;mso-height-relative:page;" filled="f" stroked="f" coordsize="21600,21600" o:gfxdata="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7axi9gAAAALAQAADwAAAAAAAAABACAAAAAiAAAAZHJzL2Rvd25yZXYueG1sUEsB&#10;AhQAFAAAAAgAh07iQDVcMje8AQAAXwMAAA4AAAAAAAAAAQAgAAAAJwEAAGRycy9lMm9Eb2MueG1s&#10;UEsFBgAAAAAGAAYAWQEAAFUFAAAAAA==&#10;">
                <v:fill on="f" focussize="0,0"/>
                <v:stroke on="f"/>
                <v:imagedata o:title=""/>
                <o:lock v:ext="edit" aspectratio="f"/>
                <v:textbox>
                  <w:txbxContent>
                    <w:p>
                      <w:pPr>
                        <w:jc w:val="left"/>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val="en-US" w:eastAsia="zh-CN"/>
                              </w:rPr>
                              <w:t>十一</w:t>
                            </w:r>
                            <w:r>
                              <w:rPr>
                                <w:rFonts w:hint="eastAsia" w:ascii="楷体_GB2312" w:hAnsi="楷体_GB2312" w:eastAsia="楷体_GB2312" w:cs="楷体_GB2312"/>
                                <w:color w:val="000000"/>
                                <w:sz w:val="40"/>
                                <w:szCs w:val="40"/>
                              </w:rPr>
                              <w:t>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4384;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val="en-US" w:eastAsia="zh-CN"/>
                        </w:rPr>
                        <w:t>十一</w:t>
                      </w:r>
                      <w:r>
                        <w:rPr>
                          <w:rFonts w:hint="eastAsia" w:ascii="楷体_GB2312" w:hAnsi="楷体_GB2312" w:eastAsia="楷体_GB2312" w:cs="楷体_GB2312"/>
                          <w:color w:val="000000"/>
                          <w:sz w:val="40"/>
                          <w:szCs w:val="40"/>
                        </w:rPr>
                        <w:t>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68480"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0"/>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both"/>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6432" behindDoc="0" locked="0" layoutInCell="1" allowOverlap="1">
            <wp:simplePos x="0" y="0"/>
            <wp:positionH relativeFrom="column">
              <wp:posOffset>643255</wp:posOffset>
            </wp:positionH>
            <wp:positionV relativeFrom="margin">
              <wp:posOffset>2016760</wp:posOffset>
            </wp:positionV>
            <wp:extent cx="739775" cy="739775"/>
            <wp:effectExtent l="0" t="0" r="9525" b="952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1"/>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3"/>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根据国家和各级政府的法规及文件要求，我中心承担着政策性粮油的检验职能。</w:t>
      </w:r>
    </w:p>
    <w:p>
      <w:pPr>
        <w:widowControl/>
        <w:shd w:val="clear" w:color="auto" w:fill="FFFFFF"/>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（1）承德市粮油质量检测中心在发改委的领导下，在全市范围内全面贯彻执行《粮食流通管理条例》、《</w:t>
      </w:r>
      <w:r>
        <w:rPr>
          <w:rFonts w:hint="eastAsia" w:ascii="仿宋_GB2312" w:hAnsi="仿宋_GB2312" w:eastAsia="仿宋_GB2312" w:cs="仿宋_GB2312"/>
          <w:kern w:val="0"/>
          <w:sz w:val="32"/>
          <w:szCs w:val="32"/>
          <w:lang w:val="en-US" w:eastAsia="zh-CN"/>
        </w:rPr>
        <w:t>中华人民共和国产品</w:t>
      </w:r>
      <w:r>
        <w:rPr>
          <w:rFonts w:hint="eastAsia" w:ascii="仿宋_GB2312" w:hAnsi="仿宋_GB2312" w:eastAsia="仿宋_GB2312" w:cs="仿宋_GB2312"/>
          <w:kern w:val="0"/>
          <w:sz w:val="32"/>
          <w:szCs w:val="32"/>
        </w:rPr>
        <w:t>质量法》、《</w:t>
      </w:r>
      <w:r>
        <w:rPr>
          <w:rFonts w:hint="eastAsia" w:ascii="仿宋_GB2312" w:hAnsi="仿宋_GB2312" w:eastAsia="仿宋_GB2312" w:cs="仿宋_GB2312"/>
          <w:kern w:val="0"/>
          <w:sz w:val="32"/>
          <w:szCs w:val="32"/>
          <w:lang w:val="en-US" w:eastAsia="zh-CN"/>
        </w:rPr>
        <w:t>中华人民共和国</w:t>
      </w:r>
      <w:r>
        <w:rPr>
          <w:rFonts w:hint="eastAsia" w:ascii="仿宋_GB2312" w:hAnsi="仿宋_GB2312" w:eastAsia="仿宋_GB2312" w:cs="仿宋_GB2312"/>
          <w:kern w:val="0"/>
          <w:sz w:val="32"/>
          <w:szCs w:val="32"/>
        </w:rPr>
        <w:t>计量</w:t>
      </w:r>
      <w:bookmarkStart w:id="0" w:name="_GoBack"/>
      <w:bookmarkEnd w:id="0"/>
      <w:r>
        <w:rPr>
          <w:rFonts w:hint="eastAsia" w:ascii="仿宋_GB2312" w:hAnsi="仿宋_GB2312" w:eastAsia="仿宋_GB2312" w:cs="仿宋_GB2312"/>
          <w:kern w:val="0"/>
          <w:sz w:val="32"/>
          <w:szCs w:val="32"/>
        </w:rPr>
        <w:t>法》、《</w:t>
      </w:r>
      <w:r>
        <w:rPr>
          <w:rFonts w:hint="eastAsia" w:ascii="仿宋_GB2312" w:hAnsi="仿宋_GB2312" w:eastAsia="仿宋_GB2312" w:cs="仿宋_GB2312"/>
          <w:kern w:val="0"/>
          <w:sz w:val="32"/>
          <w:szCs w:val="32"/>
          <w:lang w:val="en-US" w:eastAsia="zh-CN"/>
        </w:rPr>
        <w:t>中华人民共和国食品安全</w:t>
      </w:r>
      <w:r>
        <w:rPr>
          <w:rFonts w:hint="eastAsia" w:ascii="仿宋_GB2312" w:hAnsi="仿宋_GB2312" w:eastAsia="仿宋_GB2312" w:cs="仿宋_GB2312"/>
          <w:kern w:val="0"/>
          <w:sz w:val="32"/>
          <w:szCs w:val="32"/>
        </w:rPr>
        <w:t>法》。负责全市政策性粮油收购、储存和流通环节的质量、卫生检测工作。依法组织开展粮油质量和卫生监督抽查与检测，粮食收购质量调查和品质测报工作。</w:t>
      </w:r>
    </w:p>
    <w:p>
      <w:pPr>
        <w:widowControl/>
        <w:shd w:val="clear" w:color="auto" w:fill="FFFFFF"/>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（2）为确保广大消费者吃上安全、放心的粮油食品，坚持质量第一的原则，承担储备粮的质量定期检查、市场粮油产品的质量监管、监测、原粮卫生调查和品质测报以及粮食交易的公平性认证。</w:t>
      </w:r>
    </w:p>
    <w:p>
      <w:pPr>
        <w:keepNext/>
        <w:keepLines/>
        <w:spacing w:line="580" w:lineRule="exact"/>
        <w:ind w:firstLine="640" w:firstLineChars="200"/>
        <w:jc w:val="left"/>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（3）推行全面质量管理的方针，为地方政府和执法监督部门加强粮油产品质量管理，提供粮油产品准确、公正、权威的检测数据服务。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从决算编报单位构成看，纳入2021年度本部门决算汇编范围的独立核算单位（以下简称“单位”）共 </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939"/>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939"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171"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 Black"/>
                <w:kern w:val="0"/>
                <w:sz w:val="28"/>
                <w:szCs w:val="28"/>
                <w:lang w:val="en-US" w:eastAsia="zh-CN"/>
              </w:rPr>
              <w:t>承德市粮油质量检测中心</w:t>
            </w:r>
          </w:p>
        </w:tc>
        <w:tc>
          <w:tcPr>
            <w:tcW w:w="2939" w:type="dxa"/>
            <w:vAlign w:val="center"/>
          </w:tcPr>
          <w:p>
            <w:pPr>
              <w:spacing w:line="560" w:lineRule="exact"/>
              <w:jc w:val="center"/>
              <w:rPr>
                <w:rFonts w:ascii="仿宋_GB2312" w:hAnsi="Calibri" w:eastAsia="仿宋_GB2312" w:cs="ArialUnicodeMS"/>
                <w:kern w:val="0"/>
                <w:sz w:val="28"/>
                <w:szCs w:val="28"/>
              </w:rPr>
            </w:pPr>
            <w:r>
              <w:rPr>
                <w:rFonts w:hint="eastAsia" w:ascii="仿宋_GB2312" w:eastAsia="仿宋_GB2312" w:cs="Arial Black"/>
                <w:kern w:val="0"/>
                <w:sz w:val="28"/>
                <w:szCs w:val="28"/>
              </w:rPr>
              <w:t>财政补助事业单位</w:t>
            </w:r>
          </w:p>
        </w:tc>
        <w:tc>
          <w:tcPr>
            <w:tcW w:w="2171" w:type="dxa"/>
            <w:vAlign w:val="center"/>
          </w:tcPr>
          <w:p>
            <w:pPr>
              <w:spacing w:line="560" w:lineRule="exact"/>
              <w:jc w:val="center"/>
              <w:rPr>
                <w:rFonts w:ascii="仿宋_GB2312" w:hAnsi="Calibri" w:eastAsia="仿宋_GB2312" w:cs="ArialUnicodeMS"/>
                <w:kern w:val="0"/>
                <w:sz w:val="28"/>
                <w:szCs w:val="28"/>
                <w:highlight w:val="green"/>
              </w:rPr>
            </w:pPr>
            <w:r>
              <w:rPr>
                <w:rFonts w:hint="eastAsia" w:ascii="仿宋_GB2312" w:hAnsi="Calibri" w:eastAsia="仿宋_GB2312" w:cs="ArialUnicodeMS"/>
                <w:kern w:val="0"/>
                <w:sz w:val="28"/>
                <w:szCs w:val="28"/>
                <w:highlight w:val="none"/>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1760" w:firstLineChars="4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spacing w:after="160" w:line="580" w:lineRule="exact"/>
        <w:ind w:firstLine="1280" w:firstLineChars="4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7456" behindDoc="0" locked="0" layoutInCell="1" allowOverlap="1">
            <wp:simplePos x="0" y="0"/>
            <wp:positionH relativeFrom="column">
              <wp:posOffset>672465</wp:posOffset>
            </wp:positionH>
            <wp:positionV relativeFrom="margin">
              <wp:posOffset>1755140</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2"/>
                    <a:stretch>
                      <a:fillRect/>
                    </a:stretch>
                  </pic:blipFill>
                  <pic:spPr>
                    <a:xfrm>
                      <a:off x="0" y="0"/>
                      <a:ext cx="579120" cy="579120"/>
                    </a:xfrm>
                    <a:prstGeom prst="rect">
                      <a:avLst/>
                    </a:prstGeom>
                  </pic:spPr>
                </pic:pic>
              </a:graphicData>
            </a:graphic>
          </wp:anchor>
        </w:drawing>
      </w:r>
    </w:p>
    <w:p>
      <w:pPr>
        <w:widowControl/>
        <w:spacing w:after="160" w:line="580" w:lineRule="exact"/>
        <w:ind w:firstLine="2200" w:firstLineChars="5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7" w:type="default"/>
          <w:pgSz w:w="11906" w:h="16838"/>
          <w:pgMar w:top="18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第二部分  2021年度部门决算表</w:t>
      </w:r>
    </w:p>
    <w:tbl>
      <w:tblPr>
        <w:tblStyle w:val="6"/>
        <w:tblpPr w:leftFromText="180" w:rightFromText="180" w:vertAnchor="text" w:horzAnchor="page" w:tblpXSpec="center" w:tblpY="330"/>
        <w:tblOverlap w:val="never"/>
        <w:tblW w:w="9420" w:type="dxa"/>
        <w:jc w:val="center"/>
        <w:tblLayout w:type="fixed"/>
        <w:tblCellMar>
          <w:top w:w="0" w:type="dxa"/>
          <w:left w:w="0" w:type="dxa"/>
          <w:bottom w:w="0" w:type="dxa"/>
          <w:right w:w="0" w:type="dxa"/>
        </w:tblCellMar>
      </w:tblPr>
      <w:tblGrid>
        <w:gridCol w:w="3416"/>
        <w:gridCol w:w="508"/>
        <w:gridCol w:w="682"/>
        <w:gridCol w:w="3436"/>
        <w:gridCol w:w="534"/>
        <w:gridCol w:w="844"/>
      </w:tblGrid>
      <w:tr>
        <w:tblPrEx>
          <w:tblCellMar>
            <w:top w:w="0" w:type="dxa"/>
            <w:left w:w="0" w:type="dxa"/>
            <w:bottom w:w="0" w:type="dxa"/>
            <w:right w:w="0" w:type="dxa"/>
          </w:tblCellMar>
        </w:tblPrEx>
        <w:trPr>
          <w:trHeight w:val="165" w:hRule="atLeast"/>
          <w:jc w:val="center"/>
        </w:trPr>
        <w:tc>
          <w:tcPr>
            <w:tcW w:w="9420"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收入支出决算总表</w:t>
            </w:r>
          </w:p>
        </w:tc>
      </w:tr>
      <w:tr>
        <w:tblPrEx>
          <w:tblCellMar>
            <w:top w:w="0" w:type="dxa"/>
            <w:left w:w="0" w:type="dxa"/>
            <w:bottom w:w="0" w:type="dxa"/>
            <w:right w:w="0" w:type="dxa"/>
          </w:tblCellMar>
        </w:tblPrEx>
        <w:trPr>
          <w:trHeight w:val="294" w:hRule="atLeast"/>
          <w:jc w:val="center"/>
        </w:trPr>
        <w:tc>
          <w:tcPr>
            <w:tcW w:w="34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5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8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81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公开01表</w:t>
            </w:r>
          </w:p>
        </w:tc>
      </w:tr>
      <w:tr>
        <w:tblPrEx>
          <w:tblCellMar>
            <w:top w:w="0" w:type="dxa"/>
            <w:left w:w="0" w:type="dxa"/>
            <w:bottom w:w="0" w:type="dxa"/>
            <w:right w:w="0" w:type="dxa"/>
          </w:tblCellMar>
        </w:tblPrEx>
        <w:trPr>
          <w:trHeight w:val="306" w:hRule="atLeast"/>
          <w:jc w:val="center"/>
        </w:trPr>
        <w:tc>
          <w:tcPr>
            <w:tcW w:w="4606"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18"/>
                <w:szCs w:val="18"/>
                <w:lang w:eastAsia="zh-CN" w:bidi="ar"/>
              </w:rPr>
              <w:t>部门：承德市粮油质量检测中心</w:t>
            </w:r>
          </w:p>
        </w:tc>
        <w:tc>
          <w:tcPr>
            <w:tcW w:w="481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21" w:hRule="atLeast"/>
          <w:jc w:val="center"/>
        </w:trPr>
        <w:tc>
          <w:tcPr>
            <w:tcW w:w="4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收入</w:t>
            </w:r>
          </w:p>
        </w:tc>
        <w:tc>
          <w:tcPr>
            <w:tcW w:w="481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rPr>
              <w:t>支出</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151.20</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一、一般公共服务支出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53"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二、政府性基金预算财政拨款收入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二、外交支出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三、国有资本经营预算财政拨款收入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三、国防支出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四、上级补助收入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四、公共安全支出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五、事业收入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五、教育支出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六、经营收入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六、科学技术支出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七、附属单位上缴收入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7</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七、文化旅游体育与传媒支出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八、其他收入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8</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1.37</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八、社会保障和就业支出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14.38</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9</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九、卫生健康支出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0.47</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10</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十、节能环保支出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11</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十一、城乡社区支出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12</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十二、农林水支出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13</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十三、交通运输支出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14</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十四、资源勘探工业信息等支出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15</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十五、商业服务业等支出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16</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十六、金融支出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17</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十七、援助其他地区支出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18</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19</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十九、住房保障支出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7.00</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20</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二十、粮油物资储备支出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99.18</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21</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二十一、国有资本经营预算支出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rPr>
              <w:t>22</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Cs w:val="21"/>
                <w:lang w:bidi="ar"/>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rPr>
              <w:t>二十二、灾害防治及应急管理支出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23</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二十三、其他支出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24</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二十四、债务还本支出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25</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Cs w:val="21"/>
              </w:rPr>
            </w:pPr>
            <w:r>
              <w:rPr>
                <w:rFonts w:hint="eastAsia"/>
              </w:rPr>
              <w:t>二十五、债务付息支出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26</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二十六、抗疫特别国债安排的支出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本年收入合计</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27</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152.57</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本年支出合计</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121.03</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使用非财政拨款结余</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28</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结余分配</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年初结转和结余</w:t>
            </w:r>
          </w:p>
        </w:tc>
        <w:tc>
          <w:tcPr>
            <w:tcW w:w="50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29</w:t>
            </w:r>
          </w:p>
        </w:tc>
        <w:tc>
          <w:tcPr>
            <w:tcW w:w="68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21.00</w:t>
            </w:r>
          </w:p>
        </w:tc>
        <w:tc>
          <w:tcPr>
            <w:tcW w:w="343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年末结转和结余</w:t>
            </w:r>
          </w:p>
        </w:tc>
        <w:tc>
          <w:tcPr>
            <w:tcW w:w="53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60</w:t>
            </w:r>
          </w:p>
        </w:tc>
        <w:tc>
          <w:tcPr>
            <w:tcW w:w="8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52.54</w:t>
            </w: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61</w:t>
            </w:r>
          </w:p>
        </w:tc>
        <w:tc>
          <w:tcPr>
            <w:tcW w:w="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31</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173.57</w:t>
            </w:r>
          </w:p>
        </w:tc>
        <w:tc>
          <w:tcPr>
            <w:tcW w:w="3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62</w:t>
            </w:r>
          </w:p>
        </w:tc>
        <w:tc>
          <w:tcPr>
            <w:tcW w:w="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Cs w:val="21"/>
              </w:rPr>
            </w:pPr>
            <w:r>
              <w:rPr>
                <w:rFonts w:hint="eastAsia" w:ascii="宋体" w:hAnsi="宋体" w:eastAsia="宋体" w:cs="宋体"/>
                <w:i w:val="0"/>
                <w:color w:val="000000"/>
                <w:kern w:val="0"/>
                <w:sz w:val="20"/>
                <w:szCs w:val="20"/>
                <w:u w:val="none"/>
                <w:lang w:val="en-US" w:eastAsia="zh-CN" w:bidi="ar"/>
              </w:rPr>
              <w:t>173.57</w:t>
            </w:r>
          </w:p>
        </w:tc>
      </w:tr>
      <w:tr>
        <w:tblPrEx>
          <w:tblCellMar>
            <w:top w:w="0" w:type="dxa"/>
            <w:left w:w="0" w:type="dxa"/>
            <w:bottom w:w="0" w:type="dxa"/>
            <w:right w:w="0" w:type="dxa"/>
          </w:tblCellMar>
        </w:tblPrEx>
        <w:trPr>
          <w:trHeight w:val="306" w:hRule="atLeast"/>
          <w:jc w:val="center"/>
        </w:trPr>
        <w:tc>
          <w:tcPr>
            <w:tcW w:w="9420" w:type="dxa"/>
            <w:gridSpan w:val="6"/>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sz w:val="20"/>
                <w:szCs w:val="20"/>
              </w:rPr>
              <w:t>注：本表反映部门（或单位）本年度的总收支和年末结转结余情况。本套报表金额单位转换时可能存在尾数误差。</w:t>
            </w:r>
          </w:p>
        </w:tc>
      </w:tr>
    </w:tbl>
    <w:p>
      <w:pPr>
        <w:widowControl/>
        <w:jc w:val="left"/>
        <w:textAlignment w:val="center"/>
        <w:rPr>
          <w:sz w:val="20"/>
          <w:szCs w:val="20"/>
        </w:rPr>
      </w:pPr>
      <w:r>
        <w:rPr>
          <w:rFonts w:hint="eastAsia"/>
          <w:sz w:val="20"/>
          <w:szCs w:val="20"/>
        </w:rPr>
        <w:br w:type="page"/>
      </w:r>
    </w:p>
    <w:tbl>
      <w:tblPr>
        <w:tblStyle w:val="6"/>
        <w:tblW w:w="9582" w:type="dxa"/>
        <w:jc w:val="center"/>
        <w:tblLayout w:type="fixed"/>
        <w:tblCellMar>
          <w:top w:w="0" w:type="dxa"/>
          <w:left w:w="0" w:type="dxa"/>
          <w:bottom w:w="0" w:type="dxa"/>
          <w:right w:w="0" w:type="dxa"/>
        </w:tblCellMar>
      </w:tblPr>
      <w:tblGrid>
        <w:gridCol w:w="1349"/>
        <w:gridCol w:w="2463"/>
        <w:gridCol w:w="824"/>
        <w:gridCol w:w="824"/>
        <w:gridCol w:w="824"/>
        <w:gridCol w:w="824"/>
        <w:gridCol w:w="824"/>
        <w:gridCol w:w="824"/>
        <w:gridCol w:w="826"/>
      </w:tblGrid>
      <w:tr>
        <w:tblPrEx>
          <w:tblCellMar>
            <w:top w:w="0" w:type="dxa"/>
            <w:left w:w="0" w:type="dxa"/>
            <w:bottom w:w="0" w:type="dxa"/>
            <w:right w:w="0" w:type="dxa"/>
          </w:tblCellMar>
        </w:tblPrEx>
        <w:trPr>
          <w:trHeight w:val="670" w:hRule="atLeast"/>
          <w:jc w:val="center"/>
        </w:trPr>
        <w:tc>
          <w:tcPr>
            <w:tcW w:w="9582" w:type="dxa"/>
            <w:gridSpan w:val="9"/>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收入决算表</w:t>
            </w:r>
          </w:p>
        </w:tc>
      </w:tr>
      <w:tr>
        <w:tblPrEx>
          <w:tblCellMar>
            <w:top w:w="0" w:type="dxa"/>
            <w:left w:w="0" w:type="dxa"/>
            <w:bottom w:w="0" w:type="dxa"/>
            <w:right w:w="0" w:type="dxa"/>
          </w:tblCellMar>
        </w:tblPrEx>
        <w:trPr>
          <w:trHeight w:val="357" w:hRule="atLeast"/>
          <w:jc w:val="center"/>
        </w:trPr>
        <w:tc>
          <w:tcPr>
            <w:tcW w:w="4636" w:type="dxa"/>
            <w:gridSpan w:val="3"/>
            <w:vMerge w:val="restart"/>
            <w:tcBorders>
              <w:top w:val="nil"/>
              <w:left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部门：承德市粮油质量检测中心</w:t>
            </w:r>
          </w:p>
        </w:tc>
        <w:tc>
          <w:tcPr>
            <w:tcW w:w="8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5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4636" w:type="dxa"/>
            <w:gridSpan w:val="3"/>
            <w:vMerge w:val="continue"/>
            <w:tcBorders>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7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3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8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8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8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8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8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8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8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CellMar>
            <w:top w:w="0" w:type="dxa"/>
            <w:left w:w="0" w:type="dxa"/>
            <w:bottom w:w="0" w:type="dxa"/>
            <w:right w:w="0" w:type="dxa"/>
          </w:tblCellMar>
        </w:tblPrEx>
        <w:trPr>
          <w:trHeight w:val="380" w:hRule="atLeast"/>
          <w:jc w:val="center"/>
        </w:trPr>
        <w:tc>
          <w:tcPr>
            <w:tcW w:w="134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34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34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8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38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152.57</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151.20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1.37</w:t>
            </w: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社会保障和就业支出</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32.39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32.39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20805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行政事业单位养老支出</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32.39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32.39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10.09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10.09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12.59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12.59</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9.71</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9.71</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卫生健康支出</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0.60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0.60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行政事业单位医疗</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0.60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0.60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2101102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事业单位医疗</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0.60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0.60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住房保障支出</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7.28</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7.28</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22102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住房改革支出</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7.28</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7.28</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2210201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住房公积金</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7.28</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7.28</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粮油物资储备支出</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112.30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110.94</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1.37</w:t>
            </w: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粮油事务</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112.30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110.94</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1.37</w:t>
            </w: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2220106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粮食专项业务活动</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26.37</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25.00</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1.37</w:t>
            </w:r>
          </w:p>
        </w:tc>
      </w:tr>
      <w:tr>
        <w:tblPrEx>
          <w:tblCellMar>
            <w:top w:w="0" w:type="dxa"/>
            <w:left w:w="0" w:type="dxa"/>
            <w:bottom w:w="0" w:type="dxa"/>
            <w:right w:w="0" w:type="dxa"/>
          </w:tblCellMar>
        </w:tblPrEx>
        <w:trPr>
          <w:trHeight w:val="385" w:hRule="atLeast"/>
          <w:jc w:val="center"/>
        </w:trPr>
        <w:tc>
          <w:tcPr>
            <w:tcW w:w="13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2220150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事业运行</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85.94</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85.94</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385" w:hRule="atLeast"/>
          <w:jc w:val="center"/>
        </w:trPr>
        <w:tc>
          <w:tcPr>
            <w:tcW w:w="9582"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注：本表反映部门(或单位)本年度取得的各项收入情况。</w:t>
            </w:r>
          </w:p>
        </w:tc>
      </w:tr>
    </w:tbl>
    <w:p>
      <w:r>
        <w:br w:type="page"/>
      </w:r>
    </w:p>
    <w:tbl>
      <w:tblPr>
        <w:tblStyle w:val="6"/>
        <w:tblW w:w="9680" w:type="dxa"/>
        <w:jc w:val="center"/>
        <w:tblLayout w:type="fixed"/>
        <w:tblCellMar>
          <w:top w:w="0" w:type="dxa"/>
          <w:left w:w="0" w:type="dxa"/>
          <w:bottom w:w="0" w:type="dxa"/>
          <w:right w:w="0" w:type="dxa"/>
        </w:tblCellMar>
      </w:tblPr>
      <w:tblGrid>
        <w:gridCol w:w="941"/>
        <w:gridCol w:w="53"/>
        <w:gridCol w:w="240"/>
        <w:gridCol w:w="2084"/>
        <w:gridCol w:w="1020"/>
        <w:gridCol w:w="1140"/>
        <w:gridCol w:w="1005"/>
        <w:gridCol w:w="1050"/>
        <w:gridCol w:w="1050"/>
        <w:gridCol w:w="1097"/>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8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97"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0" w:type="dxa"/>
            <w:bottom w:w="0" w:type="dxa"/>
            <w:right w:w="0" w:type="dxa"/>
          </w:tblCellMar>
        </w:tblPrEx>
        <w:trPr>
          <w:trHeight w:val="313" w:hRule="atLeast"/>
          <w:jc w:val="center"/>
        </w:trPr>
        <w:tc>
          <w:tcPr>
            <w:tcW w:w="6483" w:type="dxa"/>
            <w:gridSpan w:val="7"/>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部门：承德市粮油质量检测中心</w:t>
            </w:r>
          </w:p>
        </w:tc>
        <w:tc>
          <w:tcPr>
            <w:tcW w:w="10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47"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23" w:hRule="atLeast"/>
          <w:jc w:val="center"/>
        </w:trPr>
        <w:tc>
          <w:tcPr>
            <w:tcW w:w="33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02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11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0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0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0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09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CellMar>
            <w:top w:w="0" w:type="dxa"/>
            <w:left w:w="0" w:type="dxa"/>
            <w:bottom w:w="0" w:type="dxa"/>
            <w:right w:w="0" w:type="dxa"/>
          </w:tblCellMar>
        </w:tblPrEx>
        <w:trPr>
          <w:trHeight w:val="319" w:hRule="atLeast"/>
          <w:jc w:val="center"/>
        </w:trPr>
        <w:tc>
          <w:tcPr>
            <w:tcW w:w="123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208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0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31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23" w:hRule="atLeast"/>
          <w:jc w:val="center"/>
        </w:trPr>
        <w:tc>
          <w:tcPr>
            <w:tcW w:w="331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121.03</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96.01</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25.03</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208</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社会保障和就业支出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20805</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行政事业单位养老支出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2080502</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5.28</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5.28</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2080505</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9.10</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9.10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卫生健康支出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21011</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行政事业单位医疗</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2101102</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事业单位医疗</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0.47</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0.47</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221</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住房保障支出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22102</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住房改革支出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2210201</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住房公积金</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7.00</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7.00</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222</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粮油物资储备支出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99.18</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74.15</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25.03</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22201</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粮油事务</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99.18</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74.15</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25.03</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2220106</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粮食专项业务活动</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25.03</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25.03</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2220150</w:t>
            </w:r>
          </w:p>
        </w:tc>
        <w:tc>
          <w:tcPr>
            <w:tcW w:w="2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事业运行</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74.15</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74.15</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注：本表反映部门（或单位）本年度各项支出情况。</w:t>
            </w:r>
          </w:p>
        </w:tc>
      </w:tr>
    </w:tbl>
    <w:p>
      <w:r>
        <w:br w:type="page"/>
      </w:r>
    </w:p>
    <w:tbl>
      <w:tblPr>
        <w:tblStyle w:val="6"/>
        <w:tblW w:w="11146" w:type="dxa"/>
        <w:jc w:val="center"/>
        <w:tblLayout w:type="fixed"/>
        <w:tblCellMar>
          <w:top w:w="0" w:type="dxa"/>
          <w:left w:w="0" w:type="dxa"/>
          <w:bottom w:w="0" w:type="dxa"/>
          <w:right w:w="0" w:type="dxa"/>
        </w:tblCellMar>
      </w:tblPr>
      <w:tblGrid>
        <w:gridCol w:w="2941"/>
        <w:gridCol w:w="615"/>
        <w:gridCol w:w="787"/>
        <w:gridCol w:w="3409"/>
        <w:gridCol w:w="505"/>
        <w:gridCol w:w="699"/>
        <w:gridCol w:w="705"/>
        <w:gridCol w:w="750"/>
        <w:gridCol w:w="735"/>
      </w:tblGrid>
      <w:tr>
        <w:tblPrEx>
          <w:tblCellMar>
            <w:top w:w="0" w:type="dxa"/>
            <w:left w:w="0" w:type="dxa"/>
            <w:bottom w:w="0" w:type="dxa"/>
            <w:right w:w="0" w:type="dxa"/>
          </w:tblCellMar>
        </w:tblPrEx>
        <w:trPr>
          <w:trHeight w:val="306" w:hRule="atLeast"/>
          <w:jc w:val="center"/>
        </w:trPr>
        <w:tc>
          <w:tcPr>
            <w:tcW w:w="11146" w:type="dxa"/>
            <w:gridSpan w:val="9"/>
            <w:tcBorders>
              <w:top w:val="nil"/>
              <w:left w:val="nil"/>
              <w:bottom w:val="nil"/>
              <w:right w:val="nil"/>
            </w:tcBorders>
            <w:shd w:val="clear" w:color="auto" w:fill="auto"/>
            <w:tcMar>
              <w:top w:w="15" w:type="dxa"/>
              <w:left w:w="15" w:type="dxa"/>
              <w:right w:w="15" w:type="dxa"/>
            </w:tcMar>
            <w:vAlign w:val="bottom"/>
          </w:tcPr>
          <w:p>
            <w:pPr>
              <w:snapToGrid w:val="0"/>
              <w:spacing w:line="200" w:lineRule="atLeast"/>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210" w:hRule="atLeast"/>
          <w:jc w:val="center"/>
        </w:trPr>
        <w:tc>
          <w:tcPr>
            <w:tcW w:w="2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89"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公开04表</w:t>
            </w:r>
          </w:p>
        </w:tc>
      </w:tr>
      <w:tr>
        <w:tblPrEx>
          <w:tblCellMar>
            <w:top w:w="0" w:type="dxa"/>
            <w:left w:w="0" w:type="dxa"/>
            <w:bottom w:w="0" w:type="dxa"/>
            <w:right w:w="0" w:type="dxa"/>
          </w:tblCellMar>
        </w:tblPrEx>
        <w:trPr>
          <w:trHeight w:val="210" w:hRule="atLeast"/>
          <w:jc w:val="center"/>
        </w:trPr>
        <w:tc>
          <w:tcPr>
            <w:tcW w:w="7752"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部门：承德市粮油质量检测中心</w:t>
            </w:r>
          </w:p>
        </w:tc>
        <w:tc>
          <w:tcPr>
            <w:tcW w:w="50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89"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17" w:hRule="atLeast"/>
          <w:jc w:val="center"/>
        </w:trPr>
        <w:tc>
          <w:tcPr>
            <w:tcW w:w="43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收     入</w:t>
            </w:r>
          </w:p>
        </w:tc>
        <w:tc>
          <w:tcPr>
            <w:tcW w:w="6803"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支     出</w:t>
            </w:r>
          </w:p>
        </w:tc>
      </w:tr>
      <w:tr>
        <w:tblPrEx>
          <w:tblCellMar>
            <w:top w:w="0" w:type="dxa"/>
            <w:left w:w="0" w:type="dxa"/>
            <w:bottom w:w="0" w:type="dxa"/>
            <w:right w:w="0" w:type="dxa"/>
          </w:tblCellMar>
        </w:tblPrEx>
        <w:trPr>
          <w:trHeight w:val="135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金额</w:t>
            </w:r>
          </w:p>
          <w:p>
            <w:pPr>
              <w:widowControl/>
              <w:jc w:val="center"/>
              <w:textAlignment w:val="cente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合计</w:t>
            </w:r>
          </w:p>
          <w:p>
            <w:pPr>
              <w:widowControl/>
              <w:jc w:val="center"/>
              <w:textAlignment w:val="cente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一般公共预算财政拨款</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政府性基金预算财政拨款</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国有资本经营预算财政拨款</w:t>
            </w: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栏次</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5</w:t>
            </w: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一、一般公共预算财政拨款</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151.20</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33</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二、政府性基金预算财政拨款</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二、外交支出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34</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三、国有资本经营财政拨款</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三、国防支出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35</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36</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五、教育支出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37</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38</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7</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七、文化旅游体育与传媒支出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39</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8</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八、社会保障和就业支出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40</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14.38</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14.38</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9</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九、卫生健康支出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41</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0.47</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0.47</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10</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十、节能环保支出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42</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11</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十一、城乡社区支出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43</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12</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十二、农林水支出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44</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13</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十三、交通运输支出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45</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14</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十四、资源勘探工业信息等支出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46</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15</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十五、商业服务业等支出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47</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16</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十六、金融支出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48</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17</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十七、援助其他地区支出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49</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18</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50</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19</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十九、住房保障支出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51</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7.00</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7.00</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20</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二十、粮油物资储备支出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52</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99.15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99.15</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21</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rPr>
              <w:t>二十一、国有资本经营预算支出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53</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22</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二十二、灾害防治及应急管理支出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54</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23</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二十三、其他支出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55</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24</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二十四、债务还本支出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56</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25</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 w:val="22"/>
              </w:rPr>
            </w:pPr>
            <w:r>
              <w:rPr>
                <w:rFonts w:hint="eastAsia"/>
              </w:rPr>
              <w:t>二十五、债务付息支出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57</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26</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二十六、抗疫特别国债安排的支出</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58</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本年收入合计</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27</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151.20</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本年支出合计</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59</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121.01</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121.01</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年初财政拨款结转和结余</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28</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19.92</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年末财政拨款结转和结余</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60</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50.12</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50.12</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 xml:space="preserve">  一般公共预算财政拨款</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29</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19.92</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61</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b/>
                <w:color w:val="000000"/>
                <w:sz w:val="22"/>
              </w:rPr>
            </w:pPr>
            <w:r>
              <w:rPr>
                <w:rFonts w:hint="eastAsia"/>
              </w:rPr>
              <w:t>政府性基金预算财政拨款</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30</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62</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b/>
                <w:color w:val="000000"/>
                <w:kern w:val="0"/>
                <w:sz w:val="22"/>
                <w:lang w:bidi="ar"/>
              </w:rPr>
            </w:pPr>
            <w:r>
              <w:rPr>
                <w:rFonts w:hint="eastAsia"/>
              </w:rPr>
              <w:t>国有资本经营预算财政拨款</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63</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r>
              <w:rPr>
                <w:rFonts w:hint="eastAsia"/>
              </w:rPr>
              <w:t>总计</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32</w:t>
            </w:r>
          </w:p>
        </w:tc>
        <w:tc>
          <w:tcPr>
            <w:tcW w:w="7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171.12</w:t>
            </w:r>
          </w:p>
        </w:tc>
        <w:tc>
          <w:tcPr>
            <w:tcW w:w="34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r>
              <w:rPr>
                <w:rFonts w:hint="eastAsia"/>
              </w:rPr>
              <w:t>总计</w:t>
            </w:r>
          </w:p>
        </w:tc>
        <w:tc>
          <w:tcPr>
            <w:tcW w:w="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64</w:t>
            </w:r>
          </w:p>
        </w:tc>
        <w:tc>
          <w:tcPr>
            <w:tcW w:w="6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171.12</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171.12</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1114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注：本表反映部门（或单位）本年度一般公共预算财政拨款、政府性基金预算财政拨款和国有资本经营预算财政拨款的总收支和年末结转结余情况。</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p>
        </w:tc>
      </w:tr>
    </w:tbl>
    <w:p>
      <w:pPr>
        <w:widowControl/>
        <w:jc w:val="left"/>
        <w:textAlignment w:val="center"/>
        <w:rPr>
          <w:rFonts w:ascii="宋体" w:hAnsi="宋体" w:eastAsia="宋体" w:cs="宋体"/>
          <w:color w:val="000000"/>
          <w:kern w:val="0"/>
          <w:sz w:val="20"/>
          <w:szCs w:val="20"/>
          <w:lang w:bidi="ar"/>
        </w:rPr>
      </w:pPr>
    </w:p>
    <w:tbl>
      <w:tblPr>
        <w:tblStyle w:val="6"/>
        <w:tblW w:w="9600" w:type="dxa"/>
        <w:jc w:val="center"/>
        <w:tblLayout w:type="fixed"/>
        <w:tblCellMar>
          <w:top w:w="0" w:type="dxa"/>
          <w:left w:w="0" w:type="dxa"/>
          <w:bottom w:w="0" w:type="dxa"/>
          <w:right w:w="0" w:type="dxa"/>
        </w:tblCellMar>
      </w:tblPr>
      <w:tblGrid>
        <w:gridCol w:w="1125"/>
        <w:gridCol w:w="90"/>
        <w:gridCol w:w="240"/>
        <w:gridCol w:w="2063"/>
        <w:gridCol w:w="1642"/>
        <w:gridCol w:w="2232"/>
        <w:gridCol w:w="1762"/>
        <w:gridCol w:w="446"/>
      </w:tblGrid>
      <w:tr>
        <w:tblPrEx>
          <w:tblCellMar>
            <w:top w:w="0" w:type="dxa"/>
            <w:left w:w="0" w:type="dxa"/>
            <w:bottom w:w="0" w:type="dxa"/>
            <w:right w:w="0" w:type="dxa"/>
          </w:tblCellMar>
        </w:tblPrEx>
        <w:trPr>
          <w:gridAfter w:val="1"/>
          <w:wAfter w:w="446" w:type="dxa"/>
          <w:trHeight w:val="90" w:hRule="atLeast"/>
          <w:jc w:val="center"/>
        </w:trPr>
        <w:tc>
          <w:tcPr>
            <w:tcW w:w="9154" w:type="dxa"/>
            <w:gridSpan w:val="7"/>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p>
            <w:pPr>
              <w:widowControl/>
              <w:jc w:val="left"/>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600" w:hRule="atLeast"/>
          <w:jc w:val="center"/>
        </w:trPr>
        <w:tc>
          <w:tcPr>
            <w:tcW w:w="960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11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0" w:type="dxa"/>
            <w:bottom w:w="0" w:type="dxa"/>
            <w:right w:w="0" w:type="dxa"/>
          </w:tblCellMar>
        </w:tblPrEx>
        <w:trPr>
          <w:trHeight w:val="255" w:hRule="atLeast"/>
          <w:jc w:val="center"/>
        </w:trPr>
        <w:tc>
          <w:tcPr>
            <w:tcW w:w="5160"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部门：承德市粮油质量检测中心</w:t>
            </w:r>
          </w:p>
        </w:tc>
        <w:tc>
          <w:tcPr>
            <w:tcW w:w="44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08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312" w:hRule="atLeast"/>
          <w:jc w:val="center"/>
        </w:trPr>
        <w:tc>
          <w:tcPr>
            <w:tcW w:w="145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20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64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22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20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12" w:hRule="atLeast"/>
          <w:jc w:val="center"/>
        </w:trPr>
        <w:tc>
          <w:tcPr>
            <w:tcW w:w="145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45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51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351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121.01</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96.01</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0"/>
                <w:szCs w:val="20"/>
                <w:u w:val="none"/>
                <w:lang w:val="en-US" w:eastAsia="zh-CN" w:bidi="ar"/>
              </w:rPr>
              <w:t>25.00</w:t>
            </w: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208</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社会保障和就业支出</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20805</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行政事业单位养老支出</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14.38</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2080501</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2080502</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5.28</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5.28</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2080505</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9.10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9.10</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卫生健康支出</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21011</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行政事业单位医疗</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0.47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2101102</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事业单位医疗</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0.47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0.47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221</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住房保障支出</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22102</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住房改革支出</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7.00</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2210201</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住房公积金</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7.00</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7.00</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222</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粮油物资储备支出</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99.15</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74.15</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25.00</w:t>
            </w: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22201</w:t>
            </w:r>
          </w:p>
        </w:tc>
        <w:tc>
          <w:tcPr>
            <w:tcW w:w="20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粮油事务</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99.15</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74.15</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25.00</w:t>
            </w:r>
          </w:p>
        </w:tc>
      </w:tr>
      <w:tr>
        <w:tblPrEx>
          <w:tblCellMar>
            <w:top w:w="0" w:type="dxa"/>
            <w:left w:w="0" w:type="dxa"/>
            <w:bottom w:w="0" w:type="dxa"/>
            <w:right w:w="0" w:type="dxa"/>
          </w:tblCellMar>
        </w:tblPrEx>
        <w:trPr>
          <w:trHeight w:val="308" w:hRule="atLeast"/>
          <w:jc w:val="center"/>
        </w:trPr>
        <w:tc>
          <w:tcPr>
            <w:tcW w:w="1455"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2220106</w:t>
            </w:r>
          </w:p>
        </w:tc>
        <w:tc>
          <w:tcPr>
            <w:tcW w:w="206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粮食专项业务活动</w:t>
            </w:r>
          </w:p>
        </w:tc>
        <w:tc>
          <w:tcPr>
            <w:tcW w:w="16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25.00</w:t>
            </w:r>
          </w:p>
        </w:tc>
        <w:tc>
          <w:tcPr>
            <w:tcW w:w="22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08"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25.00</w:t>
            </w:r>
          </w:p>
        </w:tc>
      </w:tr>
      <w:tr>
        <w:tblPrEx>
          <w:tblCellMar>
            <w:top w:w="0" w:type="dxa"/>
            <w:left w:w="0" w:type="dxa"/>
            <w:bottom w:w="0" w:type="dxa"/>
            <w:right w:w="0" w:type="dxa"/>
          </w:tblCellMar>
        </w:tblPrEx>
        <w:trPr>
          <w:trHeight w:val="308" w:hRule="atLeast"/>
          <w:jc w:val="center"/>
        </w:trPr>
        <w:tc>
          <w:tcPr>
            <w:tcW w:w="145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2220150</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事业运行</w:t>
            </w:r>
          </w:p>
        </w:tc>
        <w:tc>
          <w:tcPr>
            <w:tcW w:w="16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74.15</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74.15</w:t>
            </w: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00" w:type="dxa"/>
            <w:gridSpan w:val="8"/>
            <w:tcBorders>
              <w:top w:val="single" w:color="auto" w:sz="4" w:space="0"/>
              <w:left w:val="nil"/>
              <w:bottom w:val="nil"/>
              <w:right w:val="nil"/>
            </w:tcBorders>
            <w:shd w:val="clear" w:color="auto" w:fill="auto"/>
            <w:tcMar>
              <w:top w:w="15" w:type="dxa"/>
              <w:left w:w="15" w:type="dxa"/>
              <w:right w:w="15" w:type="dxa"/>
            </w:tcMar>
            <w:vAlign w:val="center"/>
          </w:tcPr>
          <w:p>
            <w:pPr>
              <w:tabs>
                <w:tab w:val="left" w:pos="218"/>
              </w:tabs>
              <w:jc w:val="left"/>
              <w:rPr>
                <w:rFonts w:ascii="宋体" w:hAnsi="宋体" w:eastAsia="宋体" w:cs="宋体"/>
                <w:color w:val="000000"/>
                <w:sz w:val="22"/>
              </w:rPr>
            </w:pPr>
            <w:r>
              <w:rPr>
                <w:rFonts w:hint="eastAsia" w:ascii="宋体" w:hAnsi="宋体" w:eastAsia="宋体" w:cs="宋体"/>
                <w:color w:val="000000"/>
                <w:sz w:val="22"/>
              </w:rPr>
              <w:t>注：本表反映部门（或单位）本年度一般公共预算财政拨款支出情况。</w:t>
            </w:r>
          </w:p>
        </w:tc>
      </w:tr>
    </w:tbl>
    <w:p>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55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165"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CellMar>
            <w:top w:w="0" w:type="dxa"/>
            <w:left w:w="0" w:type="dxa"/>
            <w:bottom w:w="0" w:type="dxa"/>
            <w:right w:w="0" w:type="dxa"/>
          </w:tblCellMar>
        </w:tblPrEx>
        <w:trPr>
          <w:trHeight w:val="155" w:hRule="atLeast"/>
          <w:jc w:val="center"/>
        </w:trPr>
        <w:tc>
          <w:tcPr>
            <w:tcW w:w="6633" w:type="dxa"/>
            <w:gridSpan w:val="6"/>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部门：承德市粮油质量检测中心</w:t>
            </w: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49"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312"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87.52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3.64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35.83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0.38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8.26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3.12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0.80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0.04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23.31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9.10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0.30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0.89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7.00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4.84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4.46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0.39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0.73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4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0.87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8"/>
                <w:szCs w:val="18"/>
                <w:lang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8"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56"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代缴社会保险费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7"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3" w:hRule="atLeast"/>
          <w:jc w:val="center"/>
        </w:trPr>
        <w:tc>
          <w:tcPr>
            <w:tcW w:w="89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76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0.52</w:t>
            </w:r>
          </w:p>
        </w:tc>
        <w:tc>
          <w:tcPr>
            <w:tcW w:w="7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27" w:hRule="atLeast"/>
          <w:jc w:val="center"/>
        </w:trPr>
        <w:tc>
          <w:tcPr>
            <w:tcW w:w="282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92.37</w:t>
            </w:r>
          </w:p>
        </w:tc>
        <w:tc>
          <w:tcPr>
            <w:tcW w:w="565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3.64</w:t>
            </w:r>
          </w:p>
        </w:tc>
      </w:tr>
      <w:tr>
        <w:tblPrEx>
          <w:tblCellMar>
            <w:top w:w="0" w:type="dxa"/>
            <w:left w:w="0" w:type="dxa"/>
            <w:bottom w:w="0" w:type="dxa"/>
            <w:right w:w="0" w:type="dxa"/>
          </w:tblCellMar>
        </w:tblPrEx>
        <w:trPr>
          <w:trHeight w:val="332" w:hRule="atLeast"/>
          <w:jc w:val="center"/>
        </w:trPr>
        <w:tc>
          <w:tcPr>
            <w:tcW w:w="10000" w:type="dxa"/>
            <w:gridSpan w:val="9"/>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注：本表反映部门（或单位）本</w:t>
            </w:r>
            <w:r>
              <w:rPr>
                <w:rFonts w:hint="eastAsia" w:ascii="宋体" w:hAnsi="宋体" w:eastAsia="宋体" w:cs="宋体"/>
                <w:color w:val="000000"/>
                <w:kern w:val="0"/>
                <w:sz w:val="20"/>
                <w:szCs w:val="20"/>
                <w:lang w:bidi="ar"/>
              </w:rPr>
              <w:t>年度</w:t>
            </w:r>
            <w:r>
              <w:rPr>
                <w:rFonts w:hint="eastAsia" w:ascii="宋体" w:hAnsi="宋体" w:eastAsia="宋体" w:cs="宋体"/>
                <w:color w:val="000000"/>
                <w:sz w:val="20"/>
                <w:szCs w:val="20"/>
              </w:rPr>
              <w:t>一般公共预算财政拨款基本支出明细情况。</w:t>
            </w:r>
          </w:p>
        </w:tc>
      </w:tr>
    </w:tbl>
    <w:p/>
    <w:p/>
    <w:p/>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pPr>
            <w:r>
              <w:br w:type="page"/>
            </w:r>
            <w:r>
              <w:rPr>
                <w:rFonts w:hint="eastAsia" w:ascii="黑体" w:hAnsi="宋体" w:eastAsia="黑体" w:cs="黑体"/>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0" w:type="dxa"/>
            <w:left w:w="0" w:type="dxa"/>
            <w:bottom w:w="0" w:type="dxa"/>
            <w:right w:w="0" w:type="dxa"/>
          </w:tblCellMar>
        </w:tblPrEx>
        <w:trPr>
          <w:trHeight w:val="360" w:hRule="atLeast"/>
          <w:jc w:val="center"/>
        </w:trPr>
        <w:tc>
          <w:tcPr>
            <w:tcW w:w="6083"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eastAsia="zh-CN" w:bidi="ar"/>
              </w:rPr>
              <w:t>部门：承德市粮油质量检测中心</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0.03</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0.03</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w:t>
      </w:r>
      <w:r>
        <w:rPr>
          <w:rFonts w:hint="eastAsia" w:ascii="宋体" w:hAnsi="宋体" w:eastAsia="宋体" w:cs="宋体"/>
          <w:highlight w:val="none"/>
        </w:rPr>
        <w:t>三公”经费支出预决算情况。其中：预算数为“三公”经费全年预算数，反映按规定程序调整后的预算数；决算</w:t>
      </w:r>
      <w:r>
        <w:rPr>
          <w:rFonts w:hint="eastAsia" w:ascii="宋体" w:hAnsi="宋体" w:eastAsia="宋体" w:cs="宋体"/>
        </w:rPr>
        <w:t>数是包括当年一般公共预算财政拨款和以前年度结转资金安排的实际支出。</w:t>
      </w:r>
      <w:r>
        <w:tab/>
      </w:r>
      <w:r>
        <w:tab/>
      </w:r>
      <w:r>
        <w:tab/>
      </w:r>
      <w:r>
        <w:tab/>
      </w:r>
      <w:r>
        <w:tab/>
      </w:r>
      <w:r>
        <w:tab/>
      </w:r>
      <w:r>
        <w:tab/>
      </w:r>
      <w:r>
        <w:tab/>
      </w:r>
      <w:r>
        <w:tab/>
      </w:r>
      <w:r>
        <w:tab/>
      </w:r>
      <w:r>
        <w:br w:type="page"/>
      </w:r>
    </w:p>
    <w:tbl>
      <w:tblPr>
        <w:tblStyle w:val="6"/>
        <w:tblW w:w="9512" w:type="dxa"/>
        <w:jc w:val="center"/>
        <w:tblLayout w:type="fixed"/>
        <w:tblCellMar>
          <w:top w:w="0" w:type="dxa"/>
          <w:left w:w="0" w:type="dxa"/>
          <w:bottom w:w="0" w:type="dxa"/>
          <w:right w:w="0" w:type="dxa"/>
        </w:tblCellMar>
      </w:tblPr>
      <w:tblGrid>
        <w:gridCol w:w="2830"/>
        <w:gridCol w:w="36"/>
        <w:gridCol w:w="36"/>
        <w:gridCol w:w="910"/>
        <w:gridCol w:w="950"/>
        <w:gridCol w:w="950"/>
        <w:gridCol w:w="950"/>
        <w:gridCol w:w="950"/>
        <w:gridCol w:w="950"/>
        <w:gridCol w:w="950"/>
      </w:tblGrid>
      <w:tr>
        <w:tblPrEx>
          <w:tblCellMar>
            <w:top w:w="0" w:type="dxa"/>
            <w:left w:w="0" w:type="dxa"/>
            <w:bottom w:w="0" w:type="dxa"/>
            <w:right w:w="0" w:type="dxa"/>
          </w:tblCellMar>
        </w:tblPrEx>
        <w:trPr>
          <w:trHeight w:val="780" w:hRule="atLeast"/>
          <w:jc w:val="center"/>
        </w:trPr>
        <w:tc>
          <w:tcPr>
            <w:tcW w:w="9512"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28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0" w:type="dxa"/>
            <w:left w:w="0" w:type="dxa"/>
            <w:bottom w:w="0" w:type="dxa"/>
            <w:right w:w="0" w:type="dxa"/>
          </w:tblCellMar>
        </w:tblPrEx>
        <w:trPr>
          <w:trHeight w:val="255" w:hRule="atLeast"/>
          <w:jc w:val="center"/>
        </w:trPr>
        <w:tc>
          <w:tcPr>
            <w:tcW w:w="28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部门：承德市粮油质量检测中心</w:t>
            </w: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0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38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9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9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28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9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CellMar>
            <w:top w:w="0" w:type="dxa"/>
            <w:left w:w="0" w:type="dxa"/>
            <w:bottom w:w="0" w:type="dxa"/>
            <w:right w:w="0" w:type="dxa"/>
          </w:tblCellMar>
        </w:tblPrEx>
        <w:trPr>
          <w:trHeight w:val="312" w:hRule="atLeast"/>
          <w:jc w:val="center"/>
        </w:trPr>
        <w:tc>
          <w:tcPr>
            <w:tcW w:w="29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9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9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9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9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81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08" w:hRule="atLeast"/>
          <w:jc w:val="center"/>
        </w:trPr>
        <w:tc>
          <w:tcPr>
            <w:tcW w:w="381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2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b/>
        </w:rPr>
      </w:pPr>
      <w:r>
        <w:rPr>
          <w:rFonts w:hint="eastAsia" w:ascii="宋体" w:hAnsi="宋体" w:eastAsia="宋体" w:cs="宋体"/>
        </w:rPr>
        <w:t>注：本表反映部门（或单位）本年度政府性基金预算财政拨款收入、支出及结转和结余情况。</w:t>
      </w:r>
      <w:r>
        <w:rPr>
          <w:rFonts w:hint="eastAsia" w:ascii="宋体" w:hAnsi="宋体"/>
          <w:sz w:val="21"/>
          <w:lang w:val="zh-CN"/>
        </w:rPr>
        <w:t>本部门(或单位)本年度无收支及结转结余情况，按要求以空表列示。</w:t>
      </w:r>
      <w:r>
        <w:rPr>
          <w:b/>
        </w:rPr>
        <w:br w:type="page"/>
      </w:r>
    </w:p>
    <w:tbl>
      <w:tblPr>
        <w:tblStyle w:val="6"/>
        <w:tblW w:w="9918" w:type="dxa"/>
        <w:jc w:val="center"/>
        <w:tblLayout w:type="fixed"/>
        <w:tblCellMar>
          <w:top w:w="0" w:type="dxa"/>
          <w:left w:w="0" w:type="dxa"/>
          <w:bottom w:w="0" w:type="dxa"/>
          <w:right w:w="0" w:type="dxa"/>
        </w:tblCellMar>
      </w:tblPr>
      <w:tblGrid>
        <w:gridCol w:w="3584"/>
        <w:gridCol w:w="46"/>
        <w:gridCol w:w="46"/>
        <w:gridCol w:w="3342"/>
        <w:gridCol w:w="595"/>
        <w:gridCol w:w="1153"/>
        <w:gridCol w:w="1152"/>
      </w:tblGrid>
      <w:tr>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358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4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5"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CellMar>
            <w:top w:w="0" w:type="dxa"/>
            <w:left w:w="0" w:type="dxa"/>
            <w:bottom w:w="0" w:type="dxa"/>
            <w:right w:w="0" w:type="dxa"/>
          </w:tblCellMar>
        </w:tblPrEx>
        <w:trPr>
          <w:trHeight w:val="255" w:hRule="atLeast"/>
          <w:jc w:val="center"/>
        </w:trPr>
        <w:tc>
          <w:tcPr>
            <w:tcW w:w="3584"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eastAsia="zh-CN" w:bidi="ar"/>
              </w:rPr>
              <w:t>部门：承德市粮油质量检测中心</w:t>
            </w:r>
          </w:p>
        </w:tc>
        <w:tc>
          <w:tcPr>
            <w:tcW w:w="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34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05"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7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290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615" w:hRule="atLeast"/>
          <w:jc w:val="center"/>
        </w:trPr>
        <w:tc>
          <w:tcPr>
            <w:tcW w:w="36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08" w:hRule="atLeast"/>
          <w:jc w:val="center"/>
        </w:trPr>
        <w:tc>
          <w:tcPr>
            <w:tcW w:w="701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701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36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6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6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6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6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ascii="黑体" w:hAnsi="黑体" w:eastAsia="黑体" w:cs="黑体"/>
          <w:sz w:val="56"/>
          <w:szCs w:val="72"/>
        </w:rPr>
      </w:pPr>
      <w:r>
        <w:rPr>
          <w:rFonts w:hint="eastAsia" w:ascii="宋体" w:hAnsi="宋体" w:eastAsia="宋体" w:cs="宋体"/>
        </w:rPr>
        <w:t>注：本表反映部门本年度国有资本经营预算财政拨款收入、支出及结转结余情况。</w:t>
      </w:r>
      <w:r>
        <w:rPr>
          <w:rFonts w:hint="eastAsia" w:ascii="宋体" w:hAnsi="宋体"/>
          <w:sz w:val="21"/>
          <w:lang w:val="zh-CN"/>
        </w:rPr>
        <w:t>本部门(或单位)本年度无收支及结转结余情况，按要求以空表列示。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
      <w:pPr>
        <w:widowControl/>
        <w:spacing w:after="160" w:line="580" w:lineRule="exact"/>
        <w:ind w:firstLine="2275" w:firstLineChars="316"/>
        <w:rPr>
          <w:rFonts w:ascii="Times New Roman" w:hAnsi="Times New Roman" w:eastAsia="黑体" w:cs="Times New Roman"/>
          <w:sz w:val="32"/>
          <w:szCs w:val="32"/>
        </w:rPr>
        <w:sectPr>
          <w:pgSz w:w="11906" w:h="16838"/>
          <w:pgMar w:top="1134" w:right="1531" w:bottom="1126"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5408"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540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widowControl/>
        <w:jc w:val="center"/>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114300" distR="114300" simplePos="0" relativeHeight="251669504" behindDoc="0" locked="0" layoutInCell="1" allowOverlap="1">
            <wp:simplePos x="0" y="0"/>
            <wp:positionH relativeFrom="column">
              <wp:posOffset>-52705</wp:posOffset>
            </wp:positionH>
            <wp:positionV relativeFrom="margin">
              <wp:posOffset>3352800</wp:posOffset>
            </wp:positionV>
            <wp:extent cx="660400" cy="660400"/>
            <wp:effectExtent l="0" t="0" r="0" b="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3"/>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第三部分 2021年度部门决算情况说明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本部门2021年度收、支总计173.57万元。与2020年度决算相比，收支各增加39.27万元，增长29.24%，主要原因是项目经费上年度由上级单位拨付，未在本单位进行</w:t>
      </w:r>
      <w:r>
        <w:rPr>
          <w:rFonts w:hint="eastAsia" w:ascii="仿宋_GB2312" w:hAnsi="Times New Roman" w:eastAsia="仿宋_GB2312" w:cs="DengXian-Regular"/>
          <w:sz w:val="32"/>
          <w:szCs w:val="32"/>
          <w:highlight w:val="none"/>
        </w:rPr>
        <w:t>预决</w:t>
      </w:r>
      <w:r>
        <w:rPr>
          <w:rFonts w:hint="eastAsia" w:ascii="仿宋_GB2312" w:hAnsi="Times New Roman" w:eastAsia="仿宋_GB2312" w:cs="DengXian-Regular"/>
          <w:sz w:val="32"/>
          <w:szCs w:val="32"/>
          <w:highlight w:val="none"/>
          <w:lang w:val="en-US" w:eastAsia="zh-CN"/>
        </w:rPr>
        <w:t>算</w:t>
      </w:r>
      <w:r>
        <w:rPr>
          <w:rFonts w:hint="eastAsia" w:ascii="仿宋_GB2312" w:hAnsi="Times New Roman" w:eastAsia="仿宋_GB2312" w:cs="DengXian-Regular"/>
          <w:sz w:val="32"/>
          <w:szCs w:val="32"/>
        </w:rPr>
        <w:t>申报，本年度直接</w:t>
      </w:r>
      <w:r>
        <w:rPr>
          <w:rFonts w:hint="eastAsia" w:ascii="仿宋_GB2312" w:hAnsi="Times New Roman" w:eastAsia="仿宋_GB2312" w:cs="DengXian-Regular"/>
          <w:sz w:val="32"/>
          <w:szCs w:val="32"/>
          <w:lang w:eastAsia="zh-CN"/>
        </w:rPr>
        <w:t>列入</w:t>
      </w:r>
      <w:r>
        <w:rPr>
          <w:rFonts w:hint="eastAsia" w:ascii="仿宋_GB2312" w:hAnsi="Times New Roman" w:eastAsia="仿宋_GB2312" w:cs="DengXian-Regular"/>
          <w:sz w:val="32"/>
          <w:szCs w:val="32"/>
        </w:rPr>
        <w:t>本单位进行收支。</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t>如图所示：</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highlight w:val="yellow"/>
          <w:lang w:eastAsia="zh-CN"/>
        </w:rPr>
        <w:drawing>
          <wp:anchor distT="0" distB="0" distL="114300" distR="114300" simplePos="0" relativeHeight="251671552" behindDoc="0" locked="0" layoutInCell="1" allowOverlap="1">
            <wp:simplePos x="0" y="0"/>
            <wp:positionH relativeFrom="column">
              <wp:posOffset>618490</wp:posOffset>
            </wp:positionH>
            <wp:positionV relativeFrom="paragraph">
              <wp:posOffset>129540</wp:posOffset>
            </wp:positionV>
            <wp:extent cx="4144645" cy="2404745"/>
            <wp:effectExtent l="4445" t="4445" r="22860" b="1016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本部门2021年度收入合计152.57万元，其中：财政拨款收入151.2万元，占</w:t>
      </w:r>
      <w:r>
        <w:rPr>
          <w:rFonts w:hint="eastAsia" w:ascii="仿宋_GB2312" w:hAnsi="Times New Roman" w:eastAsia="仿宋_GB2312" w:cs="DengXian-Regular"/>
          <w:sz w:val="32"/>
          <w:szCs w:val="32"/>
          <w:lang w:val="en-US" w:eastAsia="zh-CN"/>
        </w:rPr>
        <w:t>99.1</w:t>
      </w:r>
      <w:r>
        <w:rPr>
          <w:rFonts w:hint="eastAsia" w:ascii="仿宋_GB2312" w:hAnsi="Times New Roman" w:eastAsia="仿宋_GB2312" w:cs="DengXian-Regular"/>
          <w:sz w:val="32"/>
          <w:szCs w:val="32"/>
        </w:rPr>
        <w:t>%；其他收入1.37万元，占</w:t>
      </w:r>
      <w:r>
        <w:rPr>
          <w:rFonts w:hint="eastAsia" w:ascii="仿宋_GB2312" w:hAnsi="Times New Roman" w:eastAsia="仿宋_GB2312" w:cs="DengXian-Regular"/>
          <w:sz w:val="32"/>
          <w:szCs w:val="32"/>
          <w:lang w:val="en-US" w:eastAsia="zh-CN"/>
        </w:rPr>
        <w:t>0.9</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t>如图所示：</w:t>
      </w:r>
    </w:p>
    <w:p>
      <w:pPr>
        <w:adjustRightInd w:val="0"/>
        <w:snapToGrid w:val="0"/>
        <w:spacing w:line="580" w:lineRule="exact"/>
        <w:ind w:firstLine="420" w:firstLineChars="200"/>
        <w:rPr>
          <w:rFonts w:hint="eastAsia" w:ascii="仿宋_GB2312" w:hAnsi="Times New Roman" w:eastAsia="仿宋_GB2312" w:cs="DengXian-Regular"/>
          <w:sz w:val="32"/>
          <w:szCs w:val="32"/>
          <w:lang w:eastAsia="zh-CN"/>
        </w:rPr>
      </w:pPr>
      <w:r>
        <w:drawing>
          <wp:anchor distT="0" distB="0" distL="114300" distR="114300" simplePos="0" relativeHeight="251672576" behindDoc="0" locked="0" layoutInCell="1" allowOverlap="1">
            <wp:simplePos x="0" y="0"/>
            <wp:positionH relativeFrom="column">
              <wp:posOffset>628015</wp:posOffset>
            </wp:positionH>
            <wp:positionV relativeFrom="paragraph">
              <wp:posOffset>78740</wp:posOffset>
            </wp:positionV>
            <wp:extent cx="4494530" cy="1877060"/>
            <wp:effectExtent l="4445" t="5080" r="15875" b="22860"/>
            <wp:wrapNone/>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本部门2021年度支出合计121.03万元，其中：基本支出96.01万元，占</w:t>
      </w:r>
      <w:r>
        <w:rPr>
          <w:rFonts w:hint="eastAsia" w:ascii="仿宋_GB2312" w:hAnsi="Times New Roman" w:eastAsia="仿宋_GB2312" w:cs="DengXian-Regular"/>
          <w:sz w:val="32"/>
          <w:szCs w:val="32"/>
          <w:lang w:val="en-US" w:eastAsia="zh-CN"/>
        </w:rPr>
        <w:t>79.32</w:t>
      </w:r>
      <w:r>
        <w:rPr>
          <w:rFonts w:hint="eastAsia" w:ascii="仿宋_GB2312" w:hAnsi="Times New Roman" w:eastAsia="仿宋_GB2312" w:cs="DengXian-Regular"/>
          <w:sz w:val="32"/>
          <w:szCs w:val="32"/>
        </w:rPr>
        <w:t>%；项目支出25.03万元，占</w:t>
      </w:r>
      <w:r>
        <w:rPr>
          <w:rFonts w:hint="eastAsia" w:ascii="仿宋_GB2312" w:hAnsi="Times New Roman" w:eastAsia="仿宋_GB2312" w:cs="DengXian-Regular"/>
          <w:sz w:val="32"/>
          <w:szCs w:val="32"/>
          <w:lang w:val="en-US" w:eastAsia="zh-CN"/>
        </w:rPr>
        <w:t>20.68</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val="en-US" w:eastAsia="zh-CN"/>
        </w:rPr>
      </w:pPr>
      <w:r>
        <w:rPr>
          <w:rFonts w:hint="eastAsia" w:ascii="仿宋_GB2312" w:hAnsi="Times New Roman" w:eastAsia="仿宋_GB2312" w:cs="DengXian-Regular"/>
          <w:sz w:val="32"/>
          <w:szCs w:val="32"/>
          <w:lang w:eastAsia="zh-CN"/>
        </w:rPr>
        <w:t>如图所示：</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highlight w:val="yellow"/>
          <w:lang w:eastAsia="zh-CN"/>
        </w:rPr>
        <w:drawing>
          <wp:anchor distT="0" distB="0" distL="114300" distR="114300" simplePos="0" relativeHeight="251673600" behindDoc="0" locked="0" layoutInCell="1" allowOverlap="1">
            <wp:simplePos x="0" y="0"/>
            <wp:positionH relativeFrom="column">
              <wp:posOffset>1037590</wp:posOffset>
            </wp:positionH>
            <wp:positionV relativeFrom="paragraph">
              <wp:posOffset>53340</wp:posOffset>
            </wp:positionV>
            <wp:extent cx="3287395" cy="2233930"/>
            <wp:effectExtent l="4445" t="4445" r="22860" b="952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（一）财政拨款收支与2020年度决算对比情况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w:t>
      </w:r>
      <w:r>
        <w:rPr>
          <w:rFonts w:hint="eastAsia" w:ascii="仿宋_GB2312" w:hAnsi="Times New Roman" w:eastAsia="仿宋_GB2312" w:cs="DengXian-Regular"/>
          <w:sz w:val="32"/>
          <w:szCs w:val="32"/>
          <w:highlight w:val="none"/>
        </w:rPr>
        <w:t>门2021年度财政拨款本年收入151.2万元,比2020年度增加54.04万元，增长55.62%，主要是</w:t>
      </w:r>
      <w:r>
        <w:rPr>
          <w:rFonts w:hint="eastAsia" w:ascii="仿宋_GB2312" w:hAnsi="Times New Roman" w:eastAsia="仿宋_GB2312" w:cs="DengXian-Regular"/>
          <w:sz w:val="32"/>
          <w:szCs w:val="32"/>
          <w:highlight w:val="none"/>
          <w:lang w:eastAsia="zh-CN"/>
        </w:rPr>
        <w:t>因</w:t>
      </w:r>
      <w:r>
        <w:rPr>
          <w:rFonts w:hint="eastAsia" w:ascii="仿宋_GB2312" w:hAnsi="Times New Roman" w:eastAsia="仿宋_GB2312" w:cs="DengXian-Regular"/>
          <w:sz w:val="32"/>
          <w:szCs w:val="32"/>
          <w:highlight w:val="none"/>
        </w:rPr>
        <w:t>为项目经费上年度由上级单位拨付，未在本单位进行预</w:t>
      </w:r>
      <w:r>
        <w:rPr>
          <w:rFonts w:hint="eastAsia" w:ascii="仿宋_GB2312" w:hAnsi="Times New Roman" w:eastAsia="仿宋_GB2312" w:cs="DengXian-Regular"/>
          <w:sz w:val="32"/>
          <w:szCs w:val="32"/>
          <w:highlight w:val="none"/>
          <w:lang w:eastAsia="zh-CN"/>
        </w:rPr>
        <w:t>决</w:t>
      </w:r>
      <w:r>
        <w:rPr>
          <w:rFonts w:hint="eastAsia" w:ascii="仿宋_GB2312" w:hAnsi="Times New Roman" w:eastAsia="仿宋_GB2312" w:cs="DengXian-Regular"/>
          <w:sz w:val="32"/>
          <w:szCs w:val="32"/>
          <w:highlight w:val="none"/>
        </w:rPr>
        <w:t>算申报，本年度直接</w:t>
      </w:r>
      <w:r>
        <w:rPr>
          <w:rFonts w:hint="eastAsia" w:ascii="仿宋_GB2312" w:hAnsi="Times New Roman" w:eastAsia="仿宋_GB2312" w:cs="DengXian-Regular"/>
          <w:sz w:val="32"/>
          <w:szCs w:val="32"/>
          <w:highlight w:val="none"/>
          <w:lang w:eastAsia="zh-CN"/>
        </w:rPr>
        <w:t>列入</w:t>
      </w:r>
      <w:r>
        <w:rPr>
          <w:rFonts w:hint="eastAsia" w:ascii="仿宋_GB2312" w:hAnsi="Times New Roman" w:eastAsia="仿宋_GB2312" w:cs="DengXian-Regular"/>
          <w:sz w:val="32"/>
          <w:szCs w:val="32"/>
          <w:highlight w:val="none"/>
        </w:rPr>
        <w:t>本单位进行收支</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lang w:val="en-US" w:eastAsia="zh-CN"/>
        </w:rPr>
        <w:t xml:space="preserve"> </w:t>
      </w:r>
      <w:r>
        <w:rPr>
          <w:rFonts w:hint="eastAsia" w:ascii="仿宋_GB2312" w:hAnsi="Times New Roman" w:eastAsia="仿宋_GB2312" w:cs="DengXian-Regular"/>
          <w:sz w:val="32"/>
          <w:szCs w:val="32"/>
          <w:highlight w:val="none"/>
          <w:lang w:eastAsia="zh-CN"/>
        </w:rPr>
        <w:t>以及</w:t>
      </w:r>
      <w:r>
        <w:rPr>
          <w:rFonts w:hint="eastAsia" w:ascii="仿宋_GB2312" w:hAnsi="Times New Roman" w:eastAsia="仿宋_GB2312" w:cs="DengXian-Regular"/>
          <w:sz w:val="32"/>
          <w:szCs w:val="32"/>
          <w:highlight w:val="none"/>
          <w:lang w:val="en-US" w:eastAsia="zh-CN"/>
        </w:rPr>
        <w:t>本年度追加死亡抚恤金、增加的人员工资、奖金及社会保障费用</w:t>
      </w:r>
      <w:r>
        <w:rPr>
          <w:rFonts w:hint="eastAsia" w:ascii="仿宋_GB2312" w:hAnsi="Times New Roman" w:eastAsia="仿宋_GB2312" w:cs="DengXian-Regular"/>
          <w:sz w:val="32"/>
          <w:szCs w:val="32"/>
          <w:highlight w:val="none"/>
        </w:rPr>
        <w:t>。本年支出121.01万元，增加19.39万元，增长19.09%，主要是</w:t>
      </w:r>
      <w:r>
        <w:rPr>
          <w:rFonts w:hint="eastAsia" w:ascii="仿宋_GB2312" w:hAnsi="Times New Roman" w:eastAsia="仿宋_GB2312" w:cs="DengXian-Regular"/>
          <w:sz w:val="32"/>
          <w:szCs w:val="32"/>
          <w:highlight w:val="none"/>
          <w:lang w:eastAsia="zh-CN"/>
        </w:rPr>
        <w:t>因</w:t>
      </w:r>
      <w:r>
        <w:rPr>
          <w:rFonts w:hint="eastAsia" w:ascii="仿宋_GB2312" w:hAnsi="Times New Roman" w:eastAsia="仿宋_GB2312" w:cs="DengXian-Regular"/>
          <w:sz w:val="32"/>
          <w:szCs w:val="32"/>
          <w:highlight w:val="none"/>
        </w:rPr>
        <w:t>为项目经费上年度由上级单位拨付，未在本单位进行预</w:t>
      </w:r>
      <w:r>
        <w:rPr>
          <w:rFonts w:hint="eastAsia" w:ascii="仿宋_GB2312" w:hAnsi="Times New Roman" w:eastAsia="仿宋_GB2312" w:cs="DengXian-Regular"/>
          <w:sz w:val="32"/>
          <w:szCs w:val="32"/>
          <w:highlight w:val="none"/>
          <w:lang w:eastAsia="zh-CN"/>
        </w:rPr>
        <w:t>决</w:t>
      </w:r>
      <w:r>
        <w:rPr>
          <w:rFonts w:hint="eastAsia" w:ascii="仿宋_GB2312" w:hAnsi="Times New Roman" w:eastAsia="仿宋_GB2312" w:cs="DengXian-Regular"/>
          <w:sz w:val="32"/>
          <w:szCs w:val="32"/>
          <w:highlight w:val="none"/>
        </w:rPr>
        <w:t>算申报，本年度直接</w:t>
      </w:r>
      <w:r>
        <w:rPr>
          <w:rFonts w:hint="eastAsia" w:ascii="仿宋_GB2312" w:hAnsi="Times New Roman" w:eastAsia="仿宋_GB2312" w:cs="DengXian-Regular"/>
          <w:sz w:val="32"/>
          <w:szCs w:val="32"/>
          <w:highlight w:val="none"/>
          <w:lang w:eastAsia="zh-CN"/>
        </w:rPr>
        <w:t>列入</w:t>
      </w:r>
      <w:r>
        <w:rPr>
          <w:rFonts w:hint="eastAsia" w:ascii="仿宋_GB2312" w:hAnsi="Times New Roman" w:eastAsia="仿宋_GB2312" w:cs="DengXian-Regular"/>
          <w:sz w:val="32"/>
          <w:szCs w:val="32"/>
          <w:highlight w:val="none"/>
        </w:rPr>
        <w:t>本单位进行收支</w:t>
      </w:r>
      <w:r>
        <w:rPr>
          <w:rFonts w:hint="eastAsia" w:ascii="仿宋_GB2312" w:hAnsi="Times New Roman" w:eastAsia="仿宋_GB2312" w:cs="DengXian-Regular"/>
          <w:sz w:val="32"/>
          <w:szCs w:val="32"/>
          <w:highlight w:val="none"/>
          <w:lang w:eastAsia="zh-CN"/>
        </w:rPr>
        <w:t>，以及</w:t>
      </w:r>
      <w:r>
        <w:rPr>
          <w:rFonts w:hint="eastAsia" w:ascii="仿宋_GB2312" w:hAnsi="Times New Roman" w:eastAsia="仿宋_GB2312" w:cs="DengXian-Regular"/>
          <w:sz w:val="32"/>
          <w:szCs w:val="32"/>
          <w:highlight w:val="none"/>
          <w:lang w:val="en-US" w:eastAsia="zh-CN"/>
        </w:rPr>
        <w:t>增加的人员工资、奖金及社会保障费用</w:t>
      </w:r>
      <w:r>
        <w:rPr>
          <w:rFonts w:hint="eastAsia" w:ascii="仿宋_GB2312" w:hAnsi="Times New Roman" w:eastAsia="仿宋_GB2312" w:cs="DengXian-Regular"/>
          <w:sz w:val="32"/>
          <w:szCs w:val="32"/>
          <w:highlight w:val="none"/>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w:t>
      </w:r>
      <w:r>
        <w:rPr>
          <w:rFonts w:hint="eastAsia" w:ascii="仿宋_GB2312" w:hAnsi="Times New Roman" w:eastAsia="仿宋_GB2312" w:cs="DengXian-Regular"/>
          <w:sz w:val="32"/>
          <w:szCs w:val="32"/>
          <w:highlight w:val="none"/>
        </w:rPr>
        <w:t>财政拨款本年收入151.2万元，比上年增加54.04万元</w:t>
      </w:r>
      <w:r>
        <w:rPr>
          <w:rFonts w:hint="eastAsia" w:ascii="仿宋_GB2312" w:hAnsi="Times New Roman" w:eastAsia="仿宋_GB2312" w:cs="DengXian-Regular"/>
          <w:sz w:val="32"/>
          <w:szCs w:val="32"/>
          <w:highlight w:val="none"/>
          <w:lang w:eastAsia="zh-CN"/>
        </w:rPr>
        <w:t>，</w:t>
      </w:r>
      <w:r>
        <w:rPr>
          <w:rFonts w:hint="eastAsia" w:ascii="仿宋_GB2312" w:hAnsi="Times New Roman" w:eastAsia="仿宋_GB2312" w:cs="DengXian-Regular"/>
          <w:sz w:val="32"/>
          <w:szCs w:val="32"/>
          <w:highlight w:val="none"/>
        </w:rPr>
        <w:t>主要是</w:t>
      </w:r>
      <w:r>
        <w:rPr>
          <w:rFonts w:hint="eastAsia" w:ascii="仿宋_GB2312" w:hAnsi="Times New Roman" w:eastAsia="仿宋_GB2312" w:cs="DengXian-Regular"/>
          <w:sz w:val="32"/>
          <w:szCs w:val="32"/>
          <w:highlight w:val="none"/>
          <w:lang w:eastAsia="zh-CN"/>
        </w:rPr>
        <w:t>因</w:t>
      </w:r>
      <w:r>
        <w:rPr>
          <w:rFonts w:hint="eastAsia" w:ascii="仿宋_GB2312" w:hAnsi="Times New Roman" w:eastAsia="仿宋_GB2312" w:cs="DengXian-Regular"/>
          <w:sz w:val="32"/>
          <w:szCs w:val="32"/>
          <w:highlight w:val="none"/>
        </w:rPr>
        <w:t>为项目经费上年度由上级单位拨付，未在本单位进行预</w:t>
      </w:r>
      <w:r>
        <w:rPr>
          <w:rFonts w:hint="eastAsia" w:ascii="仿宋_GB2312" w:hAnsi="Times New Roman" w:eastAsia="仿宋_GB2312" w:cs="DengXian-Regular"/>
          <w:sz w:val="32"/>
          <w:szCs w:val="32"/>
          <w:highlight w:val="none"/>
          <w:lang w:eastAsia="zh-CN"/>
        </w:rPr>
        <w:t>决</w:t>
      </w:r>
      <w:r>
        <w:rPr>
          <w:rFonts w:hint="eastAsia" w:ascii="仿宋_GB2312" w:hAnsi="Times New Roman" w:eastAsia="仿宋_GB2312" w:cs="DengXian-Regular"/>
          <w:sz w:val="32"/>
          <w:szCs w:val="32"/>
          <w:highlight w:val="none"/>
        </w:rPr>
        <w:t>算申报，本年度直接</w:t>
      </w:r>
      <w:r>
        <w:rPr>
          <w:rFonts w:hint="eastAsia" w:ascii="仿宋_GB2312" w:hAnsi="Times New Roman" w:eastAsia="仿宋_GB2312" w:cs="DengXian-Regular"/>
          <w:sz w:val="32"/>
          <w:szCs w:val="32"/>
          <w:highlight w:val="none"/>
          <w:lang w:eastAsia="zh-CN"/>
        </w:rPr>
        <w:t>列入</w:t>
      </w:r>
      <w:r>
        <w:rPr>
          <w:rFonts w:hint="eastAsia" w:ascii="仿宋_GB2312" w:hAnsi="Times New Roman" w:eastAsia="仿宋_GB2312" w:cs="DengXian-Regular"/>
          <w:sz w:val="32"/>
          <w:szCs w:val="32"/>
          <w:highlight w:val="none"/>
        </w:rPr>
        <w:t>本单位进行收支</w:t>
      </w:r>
      <w:r>
        <w:rPr>
          <w:rFonts w:hint="eastAsia" w:ascii="仿宋_GB2312" w:hAnsi="Times New Roman" w:eastAsia="仿宋_GB2312" w:cs="DengXian-Regular"/>
          <w:sz w:val="32"/>
          <w:szCs w:val="32"/>
          <w:highlight w:val="none"/>
          <w:lang w:eastAsia="zh-CN"/>
        </w:rPr>
        <w:t>，以及</w:t>
      </w:r>
      <w:r>
        <w:rPr>
          <w:rFonts w:hint="eastAsia" w:ascii="仿宋_GB2312" w:hAnsi="Times New Roman" w:eastAsia="仿宋_GB2312" w:cs="DengXian-Regular"/>
          <w:sz w:val="32"/>
          <w:szCs w:val="32"/>
          <w:highlight w:val="none"/>
          <w:lang w:val="en-US" w:eastAsia="zh-CN"/>
        </w:rPr>
        <w:t>本年度追加死亡抚恤金和增加的人员工资、奖金及社会保障费用。</w:t>
      </w:r>
      <w:r>
        <w:rPr>
          <w:rFonts w:hint="eastAsia" w:ascii="仿宋_GB2312" w:hAnsi="Times New Roman" w:eastAsia="仿宋_GB2312" w:cs="DengXian-Regular"/>
          <w:sz w:val="32"/>
          <w:szCs w:val="32"/>
          <w:highlight w:val="none"/>
        </w:rPr>
        <w:t>本年支出121.01万元，比上年增加19.39万元，增长19.09%，主要是</w:t>
      </w:r>
      <w:r>
        <w:rPr>
          <w:rFonts w:hint="eastAsia" w:ascii="仿宋_GB2312" w:hAnsi="Times New Roman" w:eastAsia="仿宋_GB2312" w:cs="DengXian-Regular"/>
          <w:sz w:val="32"/>
          <w:szCs w:val="32"/>
          <w:highlight w:val="none"/>
          <w:lang w:eastAsia="zh-CN"/>
        </w:rPr>
        <w:t>因</w:t>
      </w:r>
      <w:r>
        <w:rPr>
          <w:rFonts w:hint="eastAsia" w:ascii="仿宋_GB2312" w:hAnsi="Times New Roman" w:eastAsia="仿宋_GB2312" w:cs="DengXian-Regular"/>
          <w:sz w:val="32"/>
          <w:szCs w:val="32"/>
          <w:highlight w:val="none"/>
        </w:rPr>
        <w:t>为项目经费上年度由上级单位拨付，未在本单位进行预</w:t>
      </w:r>
      <w:r>
        <w:rPr>
          <w:rFonts w:hint="eastAsia" w:ascii="仿宋_GB2312" w:hAnsi="Times New Roman" w:eastAsia="仿宋_GB2312" w:cs="DengXian-Regular"/>
          <w:sz w:val="32"/>
          <w:szCs w:val="32"/>
          <w:highlight w:val="none"/>
          <w:lang w:eastAsia="zh-CN"/>
        </w:rPr>
        <w:t>决</w:t>
      </w:r>
      <w:r>
        <w:rPr>
          <w:rFonts w:hint="eastAsia" w:ascii="仿宋_GB2312" w:hAnsi="Times New Roman" w:eastAsia="仿宋_GB2312" w:cs="DengXian-Regular"/>
          <w:sz w:val="32"/>
          <w:szCs w:val="32"/>
          <w:highlight w:val="none"/>
        </w:rPr>
        <w:t>算申报，本年度直接</w:t>
      </w:r>
      <w:r>
        <w:rPr>
          <w:rFonts w:hint="eastAsia" w:ascii="仿宋_GB2312" w:hAnsi="Times New Roman" w:eastAsia="仿宋_GB2312" w:cs="DengXian-Regular"/>
          <w:sz w:val="32"/>
          <w:szCs w:val="32"/>
          <w:highlight w:val="none"/>
          <w:lang w:eastAsia="zh-CN"/>
        </w:rPr>
        <w:t>列入</w:t>
      </w:r>
      <w:r>
        <w:rPr>
          <w:rFonts w:hint="eastAsia" w:ascii="仿宋_GB2312" w:hAnsi="Times New Roman" w:eastAsia="仿宋_GB2312" w:cs="DengXian-Regular"/>
          <w:sz w:val="32"/>
          <w:szCs w:val="32"/>
          <w:highlight w:val="none"/>
        </w:rPr>
        <w:t>本单位进行收支</w:t>
      </w:r>
      <w:r>
        <w:rPr>
          <w:rFonts w:hint="eastAsia" w:ascii="仿宋_GB2312" w:hAnsi="Times New Roman" w:eastAsia="仿宋_GB2312" w:cs="DengXian-Regular"/>
          <w:sz w:val="32"/>
          <w:szCs w:val="32"/>
          <w:highlight w:val="none"/>
          <w:lang w:eastAsia="zh-CN"/>
        </w:rPr>
        <w:t>，以及</w:t>
      </w:r>
      <w:r>
        <w:rPr>
          <w:rFonts w:hint="eastAsia" w:ascii="仿宋_GB2312" w:hAnsi="Times New Roman" w:eastAsia="仿宋_GB2312" w:cs="DengXian-Regular"/>
          <w:sz w:val="32"/>
          <w:szCs w:val="32"/>
          <w:highlight w:val="none"/>
          <w:lang w:val="en-US" w:eastAsia="zh-CN"/>
        </w:rPr>
        <w:t>增加的人员工资、奖金及社会保障费用</w:t>
      </w:r>
      <w:r>
        <w:rPr>
          <w:rFonts w:hint="eastAsia" w:ascii="仿宋_GB2312" w:hAnsi="Times New Roman" w:eastAsia="仿宋_GB2312" w:cs="DengXian-Regular"/>
          <w:sz w:val="32"/>
          <w:szCs w:val="32"/>
          <w:highlight w:val="none"/>
        </w:rPr>
        <w:t>。</w:t>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lang w:eastAsia="zh-CN"/>
        </w:rPr>
      </w:pPr>
      <w:r>
        <w:rPr>
          <w:rFonts w:hint="eastAsia" w:ascii="仿宋_GB2312" w:hAnsi="Times New Roman" w:eastAsia="仿宋_GB2312" w:cs="DengXian-Regular"/>
          <w:sz w:val="32"/>
          <w:szCs w:val="32"/>
          <w:highlight w:val="none"/>
          <w:lang w:eastAsia="zh-CN"/>
        </w:rPr>
        <w:t>如图所示：</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highlight w:val="yellow"/>
          <w:lang w:eastAsia="zh-CN"/>
        </w:rPr>
        <w:drawing>
          <wp:anchor distT="0" distB="0" distL="114300" distR="114300" simplePos="0" relativeHeight="251674624" behindDoc="0" locked="0" layoutInCell="1" allowOverlap="1">
            <wp:simplePos x="0" y="0"/>
            <wp:positionH relativeFrom="column">
              <wp:posOffset>456565</wp:posOffset>
            </wp:positionH>
            <wp:positionV relativeFrom="paragraph">
              <wp:posOffset>183515</wp:posOffset>
            </wp:positionV>
            <wp:extent cx="4248785" cy="2385695"/>
            <wp:effectExtent l="5080" t="5080" r="13335" b="952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本部门2021年度财政拨款本年收入151.2万元，完成年初预算的116.63%,比年初预算增加21.55万元，决算数大于预算数主要</w:t>
      </w:r>
      <w:r>
        <w:rPr>
          <w:rFonts w:hint="eastAsia" w:ascii="仿宋_GB2312" w:hAnsi="Times New Roman" w:eastAsia="仿宋_GB2312" w:cs="DengXian-Regular"/>
          <w:sz w:val="32"/>
          <w:szCs w:val="32"/>
          <w:highlight w:val="none"/>
        </w:rPr>
        <w:t>原因是</w:t>
      </w:r>
      <w:r>
        <w:rPr>
          <w:rFonts w:hint="eastAsia" w:ascii="仿宋_GB2312" w:hAnsi="Times New Roman" w:eastAsia="仿宋_GB2312" w:cs="DengXian-Regular"/>
          <w:sz w:val="32"/>
          <w:szCs w:val="32"/>
          <w:highlight w:val="none"/>
          <w:lang w:val="en-US" w:eastAsia="zh-CN"/>
        </w:rPr>
        <w:t>本年度追加死亡抚恤金、调剂增加项目经费和增加的人员工资及社会保障费用</w:t>
      </w:r>
      <w:r>
        <w:rPr>
          <w:rFonts w:hint="eastAsia" w:ascii="仿宋_GB2312" w:hAnsi="Times New Roman" w:eastAsia="仿宋_GB2312" w:cs="DengXian-Regular"/>
          <w:sz w:val="32"/>
          <w:szCs w:val="32"/>
          <w:highlight w:val="none"/>
        </w:rPr>
        <w:t>；本年支出121.01万元，完成年初预算的93.34%,比年初预算减少8.64万元，决算数小于预算数主要原因是</w:t>
      </w:r>
      <w:r>
        <w:rPr>
          <w:rFonts w:hint="eastAsia" w:ascii="仿宋_GB2312" w:hAnsi="Times New Roman" w:eastAsia="仿宋_GB2312" w:cs="DengXian-Regular"/>
          <w:sz w:val="32"/>
          <w:szCs w:val="32"/>
          <w:highlight w:val="none"/>
          <w:lang w:eastAsia="zh-CN"/>
        </w:rPr>
        <w:t>结转至下年度支付绩效奖金</w:t>
      </w:r>
      <w:r>
        <w:rPr>
          <w:rFonts w:hint="eastAsia" w:ascii="仿宋_GB2312" w:hAnsi="Times New Roman" w:eastAsia="仿宋_GB2312" w:cs="DengXian-Regular"/>
          <w:sz w:val="32"/>
          <w:szCs w:val="32"/>
          <w:lang w:eastAsia="zh-CN"/>
        </w:rPr>
        <w:t>增加和在职死亡人员工资及社会保障费用的减少</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lang w:eastAsia="zh-CN"/>
        </w:rPr>
      </w:pPr>
      <w:r>
        <w:rPr>
          <w:rFonts w:hint="eastAsia" w:ascii="仿宋_GB2312" w:hAnsi="Times New Roman" w:eastAsia="仿宋_GB2312" w:cs="DengXian-Regular"/>
          <w:sz w:val="32"/>
          <w:szCs w:val="32"/>
        </w:rPr>
        <w:t>一般公共预算财政拨</w:t>
      </w:r>
      <w:r>
        <w:rPr>
          <w:rFonts w:hint="eastAsia" w:ascii="仿宋_GB2312" w:hAnsi="Times New Roman" w:eastAsia="仿宋_GB2312" w:cs="DengXian-Regular"/>
          <w:sz w:val="32"/>
          <w:szCs w:val="32"/>
          <w:highlight w:val="none"/>
        </w:rPr>
        <w:t>款本年收入完成年初预算116.63%，比年初预算增加21.55万元，主要是</w:t>
      </w:r>
      <w:r>
        <w:rPr>
          <w:rFonts w:hint="eastAsia" w:ascii="仿宋_GB2312" w:hAnsi="Times New Roman" w:eastAsia="仿宋_GB2312" w:cs="DengXian-Regular"/>
          <w:sz w:val="32"/>
          <w:szCs w:val="32"/>
          <w:highlight w:val="none"/>
          <w:lang w:val="en-US" w:eastAsia="zh-CN"/>
        </w:rPr>
        <w:t>本年度追加死亡抚恤金、调剂增加项目经费和增加的人员工资及社会保障费用。</w:t>
      </w:r>
      <w:r>
        <w:rPr>
          <w:rFonts w:hint="eastAsia" w:ascii="仿宋_GB2312" w:hAnsi="Times New Roman" w:eastAsia="仿宋_GB2312" w:cs="DengXian-Regular"/>
          <w:sz w:val="32"/>
          <w:szCs w:val="32"/>
          <w:highlight w:val="none"/>
        </w:rPr>
        <w:t>支出完成年初预算93.34%，比年初预算减少8.64万元，主要是</w:t>
      </w:r>
      <w:r>
        <w:rPr>
          <w:rFonts w:hint="eastAsia" w:ascii="仿宋_GB2312" w:hAnsi="Times New Roman" w:eastAsia="仿宋_GB2312" w:cs="DengXian-Regular"/>
          <w:sz w:val="32"/>
          <w:szCs w:val="32"/>
          <w:highlight w:val="none"/>
          <w:lang w:eastAsia="zh-CN"/>
        </w:rPr>
        <w:t>结转至下年度支付绩效奖金增加和在职死亡人员工资及社会保障费用的减少</w:t>
      </w:r>
      <w:r>
        <w:rPr>
          <w:rFonts w:hint="eastAsia" w:ascii="仿宋_GB2312" w:hAnsi="Times New Roman" w:eastAsia="仿宋_GB2312" w:cs="DengXian-Regular"/>
          <w:sz w:val="32"/>
          <w:szCs w:val="32"/>
          <w:highlight w:val="none"/>
        </w:rPr>
        <w:t>。</w:t>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lang w:eastAsia="zh-CN"/>
        </w:rPr>
      </w:pPr>
      <w:r>
        <w:rPr>
          <w:rFonts w:hint="eastAsia" w:ascii="仿宋_GB2312" w:hAnsi="Times New Roman" w:eastAsia="仿宋_GB2312" w:cs="DengXian-Regular"/>
          <w:sz w:val="32"/>
          <w:szCs w:val="32"/>
          <w:highlight w:val="none"/>
          <w:lang w:eastAsia="zh-CN"/>
        </w:rPr>
        <w:t>如图所示：</w:t>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lang w:eastAsia="zh-CN"/>
        </w:rPr>
      </w:pPr>
      <w:r>
        <w:rPr>
          <w:rFonts w:hint="eastAsia" w:ascii="仿宋_GB2312" w:hAnsi="Times New Roman" w:eastAsia="仿宋_GB2312" w:cs="DengXian-Regular"/>
          <w:sz w:val="32"/>
          <w:szCs w:val="32"/>
          <w:highlight w:val="yellow"/>
          <w:lang w:eastAsia="zh-CN"/>
        </w:rPr>
        <w:drawing>
          <wp:anchor distT="0" distB="0" distL="114300" distR="114300" simplePos="0" relativeHeight="251675648" behindDoc="0" locked="0" layoutInCell="1" allowOverlap="1">
            <wp:simplePos x="0" y="0"/>
            <wp:positionH relativeFrom="column">
              <wp:posOffset>770890</wp:posOffset>
            </wp:positionH>
            <wp:positionV relativeFrom="paragraph">
              <wp:posOffset>158115</wp:posOffset>
            </wp:positionV>
            <wp:extent cx="4144645" cy="2404745"/>
            <wp:effectExtent l="4445" t="4445" r="22860" b="1016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2021 年度财政拨款支出121.01万元，主要用于以下方面</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Wingdings"/>
          <w:sz w:val="32"/>
          <w:szCs w:val="32"/>
        </w:rPr>
        <w:t>社会保障和就业</w:t>
      </w:r>
      <w:r>
        <w:rPr>
          <w:rFonts w:hint="eastAsia" w:ascii="仿宋_GB2312" w:hAnsi="Times New Roman" w:eastAsia="仿宋_GB2312" w:cs="DengXian-Regular"/>
          <w:sz w:val="32"/>
          <w:szCs w:val="32"/>
        </w:rPr>
        <w:t>（类）支出14.38万元，占</w:t>
      </w:r>
      <w:r>
        <w:rPr>
          <w:rFonts w:hint="eastAsia" w:ascii="仿宋_GB2312" w:hAnsi="Times New Roman" w:eastAsia="仿宋_GB2312" w:cs="DengXian-Regular"/>
          <w:sz w:val="32"/>
          <w:szCs w:val="32"/>
          <w:lang w:val="en-US" w:eastAsia="zh-CN"/>
        </w:rPr>
        <w:t>11.88</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人员养老保险及离退休老干部人员及公用经费等</w:t>
      </w:r>
      <w:r>
        <w:rPr>
          <w:rFonts w:hint="eastAsia" w:ascii="仿宋_GB2312" w:hAnsi="Times New Roman" w:eastAsia="仿宋_GB2312" w:cs="DengXian-Regular"/>
          <w:sz w:val="32"/>
          <w:szCs w:val="32"/>
        </w:rPr>
        <w:t>支出；卫生健康（类）支出0.47万元，占</w:t>
      </w:r>
      <w:r>
        <w:rPr>
          <w:rFonts w:hint="eastAsia" w:ascii="仿宋_GB2312" w:hAnsi="Times New Roman" w:eastAsia="仿宋_GB2312" w:cs="DengXian-Regular"/>
          <w:sz w:val="32"/>
          <w:szCs w:val="32"/>
          <w:lang w:val="en-US" w:eastAsia="zh-CN"/>
        </w:rPr>
        <w:t>0.39</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人员工伤及医疗保险费支出</w:t>
      </w:r>
      <w:r>
        <w:rPr>
          <w:rFonts w:hint="eastAsia" w:ascii="仿宋_GB2312" w:hAnsi="Times New Roman" w:eastAsia="仿宋_GB2312" w:cs="DengXian-Regular"/>
          <w:sz w:val="32"/>
          <w:szCs w:val="32"/>
        </w:rPr>
        <w:t>等支出；住房保障（类）支出7万元，占</w:t>
      </w:r>
      <w:r>
        <w:rPr>
          <w:rFonts w:hint="eastAsia" w:ascii="仿宋_GB2312" w:hAnsi="Times New Roman" w:eastAsia="仿宋_GB2312" w:cs="DengXian-Regular"/>
          <w:sz w:val="32"/>
          <w:szCs w:val="32"/>
          <w:lang w:val="en-US" w:eastAsia="zh-CN"/>
        </w:rPr>
        <w:t>5.79</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住房公积金</w:t>
      </w:r>
      <w:r>
        <w:rPr>
          <w:rFonts w:hint="eastAsia" w:ascii="仿宋_GB2312" w:hAnsi="Times New Roman" w:eastAsia="仿宋_GB2312" w:cs="DengXian-Regular"/>
          <w:sz w:val="32"/>
          <w:szCs w:val="32"/>
        </w:rPr>
        <w:t xml:space="preserve">支出；粮油物资储备（类）支出99.15万元，占 </w:t>
      </w:r>
      <w:r>
        <w:rPr>
          <w:rFonts w:hint="eastAsia" w:ascii="仿宋_GB2312" w:hAnsi="Times New Roman" w:eastAsia="仿宋_GB2312" w:cs="DengXian-Regular"/>
          <w:sz w:val="32"/>
          <w:szCs w:val="32"/>
          <w:lang w:val="en-US" w:eastAsia="zh-CN"/>
        </w:rPr>
        <w:t>81.94</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人员工资、日常公用和</w:t>
      </w:r>
      <w:r>
        <w:rPr>
          <w:rFonts w:hint="eastAsia" w:ascii="仿宋_GB2312" w:hAnsi="Times New Roman" w:eastAsia="仿宋_GB2312" w:cs="DengXian-Regular"/>
          <w:sz w:val="32"/>
          <w:szCs w:val="32"/>
          <w:lang w:val="en-US" w:eastAsia="zh-CN"/>
        </w:rPr>
        <w:t>项目经费</w:t>
      </w:r>
      <w:r>
        <w:rPr>
          <w:rFonts w:hint="eastAsia" w:ascii="仿宋_GB2312" w:hAnsi="Times New Roman" w:eastAsia="仿宋_GB2312" w:cs="DengXian-Regular"/>
          <w:sz w:val="32"/>
          <w:szCs w:val="32"/>
        </w:rPr>
        <w:t>支出。</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t>如图所示：</w:t>
      </w:r>
    </w:p>
    <w:p>
      <w:pPr>
        <w:adjustRightInd w:val="0"/>
        <w:snapToGrid w:val="0"/>
        <w:spacing w:line="580" w:lineRule="exact"/>
        <w:ind w:firstLine="420" w:firstLineChars="200"/>
        <w:rPr>
          <w:rFonts w:hint="eastAsia" w:ascii="仿宋_GB2312" w:hAnsi="Times New Roman" w:eastAsia="仿宋_GB2312" w:cs="DengXian-Regular"/>
          <w:sz w:val="32"/>
          <w:szCs w:val="32"/>
          <w:lang w:eastAsia="zh-CN"/>
        </w:rPr>
      </w:pPr>
      <w:r>
        <w:drawing>
          <wp:anchor distT="0" distB="0" distL="114300" distR="114300" simplePos="0" relativeHeight="251676672" behindDoc="0" locked="0" layoutInCell="1" allowOverlap="1">
            <wp:simplePos x="0" y="0"/>
            <wp:positionH relativeFrom="column">
              <wp:posOffset>285115</wp:posOffset>
            </wp:positionH>
            <wp:positionV relativeFrom="paragraph">
              <wp:posOffset>189865</wp:posOffset>
            </wp:positionV>
            <wp:extent cx="4572000" cy="2743200"/>
            <wp:effectExtent l="4445" t="4445" r="14605" b="1460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adjustRightInd w:val="0"/>
        <w:snapToGrid w:val="0"/>
        <w:spacing w:line="580" w:lineRule="exact"/>
        <w:rPr>
          <w:rFonts w:hint="eastAsia" w:ascii="仿宋_GB2312" w:hAnsi="Times New Roman" w:eastAsia="仿宋_GB2312" w:cs="DengXian-Regular"/>
          <w:sz w:val="32"/>
          <w:szCs w:val="32"/>
          <w:lang w:eastAsia="zh-CN"/>
        </w:rPr>
      </w:pPr>
    </w:p>
    <w:p>
      <w:pPr>
        <w:adjustRightInd w:val="0"/>
        <w:snapToGrid w:val="0"/>
        <w:spacing w:line="580" w:lineRule="exact"/>
        <w:rPr>
          <w:rFonts w:hint="eastAsia" w:ascii="仿宋_GB2312" w:hAnsi="Times New Roman" w:eastAsia="仿宋_GB2312" w:cs="DengXian-Regular"/>
          <w:sz w:val="32"/>
          <w:szCs w:val="32"/>
          <w:lang w:eastAsia="zh-CN"/>
        </w:rPr>
      </w:pPr>
    </w:p>
    <w:p>
      <w:pPr>
        <w:adjustRightInd w:val="0"/>
        <w:snapToGrid w:val="0"/>
        <w:spacing w:line="580" w:lineRule="exact"/>
        <w:rPr>
          <w:rFonts w:hint="eastAsia" w:ascii="仿宋_GB2312" w:hAnsi="Times New Roman" w:eastAsia="仿宋_GB2312" w:cs="DengXian-Regular"/>
          <w:sz w:val="32"/>
          <w:szCs w:val="32"/>
          <w:lang w:eastAsia="zh-CN"/>
        </w:rPr>
      </w:pPr>
    </w:p>
    <w:p>
      <w:pPr>
        <w:adjustRightInd w:val="0"/>
        <w:snapToGrid w:val="0"/>
        <w:spacing w:line="580" w:lineRule="exact"/>
        <w:rPr>
          <w:rFonts w:hint="eastAsia" w:ascii="仿宋_GB2312" w:hAnsi="Times New Roman" w:eastAsia="仿宋_GB2312" w:cs="DengXian-Regular"/>
          <w:sz w:val="32"/>
          <w:szCs w:val="32"/>
          <w:lang w:eastAsia="zh-CN"/>
        </w:rPr>
      </w:pPr>
    </w:p>
    <w:p>
      <w:pPr>
        <w:adjustRightInd w:val="0"/>
        <w:snapToGrid w:val="0"/>
        <w:spacing w:line="580" w:lineRule="exact"/>
        <w:rPr>
          <w:rFonts w:hint="eastAsia" w:ascii="仿宋_GB2312" w:hAnsi="Times New Roman" w:eastAsia="仿宋_GB2312" w:cs="DengXian-Regular"/>
          <w:sz w:val="32"/>
          <w:szCs w:val="32"/>
          <w:lang w:eastAsia="zh-CN"/>
        </w:rPr>
      </w:pPr>
    </w:p>
    <w:p>
      <w:pPr>
        <w:adjustRightInd w:val="0"/>
        <w:snapToGrid w:val="0"/>
        <w:spacing w:line="580" w:lineRule="exact"/>
        <w:ind w:left="420" w:left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2021年度财政拨款基本支出96.01万元，其中：</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人员经费 92.37万元，主要包括基本工资、津贴补贴、奖金、绩效工资、机关事业单位基本养老保险缴费、住房公积金、其他社会保障缴费、其他工资福利支出、退休费、生活补助</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公用经费3.64万元，主要包括办公费、咨询费、手续费、邮电费、工会经费、福利费、其他商品和服务支出</w:t>
      </w:r>
      <w:r>
        <w:rPr>
          <w:rFonts w:hint="eastAsia" w:ascii="仿宋_GB2312" w:hAnsi="Times New Roman" w:eastAsia="仿宋_GB2312" w:cs="DengXian-Regular"/>
          <w:sz w:val="32"/>
          <w:szCs w:val="32"/>
          <w:lang w:eastAsia="zh-CN"/>
        </w:rPr>
        <w:t>。</w:t>
      </w:r>
    </w:p>
    <w:p>
      <w:pPr>
        <w:keepNext/>
        <w:keepLines/>
        <w:snapToGrid w:val="0"/>
        <w:spacing w:line="580" w:lineRule="exact"/>
        <w:ind w:firstLine="640" w:firstLineChars="200"/>
        <w:outlineLvl w:val="1"/>
        <w:rPr>
          <w:rFonts w:ascii="仿宋_GB2312" w:hAnsi="Times New Roman" w:eastAsia="仿宋_GB2312" w:cs="DengXian-Regular"/>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本部门2021年度“三公”经费财政拨款支出预算为0.03万元，支出决算为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较预算减少0.03万元，降低</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本年度无招待任务</w:t>
      </w:r>
      <w:r>
        <w:rPr>
          <w:rFonts w:hint="eastAsia" w:ascii="仿宋_GB2312" w:hAnsi="Times New Roman" w:eastAsia="仿宋_GB2312" w:cs="DengXian-Regular"/>
          <w:sz w:val="32"/>
          <w:szCs w:val="32"/>
        </w:rPr>
        <w:t>；与2020年度决算支出持平。</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hint="eastAsia"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本部门2021年未发生因公出国（境）费支出。其中因公出国（境）团组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人。因公出国（境）费支出与年初预算持平，与2020年度决算支出持平。</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本部门2021年度</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公务用车购置及运行维护费</w:t>
      </w:r>
      <w:r>
        <w:rPr>
          <w:rFonts w:hint="eastAsia" w:ascii="仿宋_GB2312" w:hAnsi="Times New Roman" w:eastAsia="仿宋_GB2312" w:cs="DengXian-Regular"/>
          <w:sz w:val="32"/>
          <w:szCs w:val="32"/>
          <w:lang w:eastAsia="zh-CN"/>
        </w:rPr>
        <w:t>支出。</w:t>
      </w:r>
      <w:r>
        <w:rPr>
          <w:rFonts w:hint="eastAsia" w:ascii="仿宋_GB2312" w:hAnsi="Times New Roman" w:eastAsia="仿宋_GB2312" w:cs="DengXian-Regular"/>
          <w:sz w:val="32"/>
          <w:szCs w:val="32"/>
        </w:rPr>
        <w:t>公务用车购置及运行维护费</w:t>
      </w:r>
      <w:r>
        <w:rPr>
          <w:rFonts w:hint="eastAsia" w:ascii="仿宋_GB2312" w:hAnsi="Times New Roman" w:eastAsia="仿宋_GB2312" w:cs="DengXian-Regular"/>
          <w:sz w:val="32"/>
          <w:szCs w:val="32"/>
          <w:lang w:eastAsia="zh-CN"/>
        </w:rPr>
        <w:t>支出</w:t>
      </w:r>
      <w:r>
        <w:rPr>
          <w:rFonts w:hint="eastAsia" w:ascii="仿宋_GB2312" w:hAnsi="Times New Roman" w:eastAsia="仿宋_GB2312" w:cs="DengXian-Regular"/>
          <w:sz w:val="32"/>
          <w:szCs w:val="32"/>
        </w:rPr>
        <w:t>与年初预算持平；与2020年度决算支出持平。</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color w:val="000000"/>
          <w:sz w:val="32"/>
          <w:szCs w:val="32"/>
          <w:highlight w:val="yellow"/>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本部门2021年度公务用车购置量0辆，未发生“公务用车购置”经费支出。公务用车购置费支出与年初预算持平；与2020年度决算支出持平。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本部门2021年度单位公务用车保有量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公车运行维护费支出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公车运行维护费支出与年初预算持平；与2020年度决算支出持平。</w:t>
      </w:r>
    </w:p>
    <w:p>
      <w:pPr>
        <w:adjustRightInd w:val="0"/>
        <w:snapToGrid w:val="0"/>
        <w:spacing w:line="580" w:lineRule="exact"/>
        <w:ind w:firstLine="643" w:firstLine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本部门2021年度公务接待费支出预算为0.03</w:t>
      </w:r>
      <w:r>
        <w:rPr>
          <w:rFonts w:hint="eastAsia" w:ascii="仿宋_GB2312" w:hAnsi="Times New Roman" w:eastAsia="仿宋_GB2312" w:cs="DengXian-Regular"/>
          <w:sz w:val="32"/>
          <w:szCs w:val="32"/>
          <w:lang w:eastAsia="zh-CN"/>
        </w:rPr>
        <w:t>万元</w:t>
      </w:r>
      <w:r>
        <w:rPr>
          <w:rFonts w:hint="eastAsia" w:ascii="仿宋_GB2312" w:hAnsi="Times New Roman" w:eastAsia="仿宋_GB2312" w:cs="DengXian-Regular"/>
          <w:sz w:val="32"/>
          <w:szCs w:val="32"/>
        </w:rPr>
        <w:t>，支出决算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w:t>
      </w:r>
      <w:r>
        <w:rPr>
          <w:rFonts w:hint="eastAsia" w:ascii="仿宋_GB2312" w:hAnsi="Times New Roman" w:eastAsia="仿宋_GB2312" w:cs="DengXian-Regular"/>
          <w:sz w:val="32"/>
          <w:szCs w:val="32"/>
          <w:highlight w:val="none"/>
        </w:rPr>
        <w:t>公务接待费支出</w:t>
      </w:r>
      <w:r>
        <w:rPr>
          <w:rFonts w:hint="eastAsia" w:ascii="仿宋_GB2312" w:hAnsi="Times New Roman" w:eastAsia="仿宋_GB2312" w:cs="DengXian-Regular"/>
          <w:sz w:val="32"/>
          <w:szCs w:val="32"/>
          <w:highlight w:val="none"/>
          <w:lang w:eastAsia="zh-CN"/>
        </w:rPr>
        <w:t>比</w:t>
      </w:r>
      <w:r>
        <w:rPr>
          <w:rFonts w:hint="eastAsia" w:ascii="仿宋_GB2312" w:hAnsi="Times New Roman" w:eastAsia="仿宋_GB2312" w:cs="DengXian-Regular"/>
          <w:sz w:val="32"/>
          <w:szCs w:val="32"/>
          <w:highlight w:val="none"/>
        </w:rPr>
        <w:t>年初预算</w:t>
      </w:r>
      <w:r>
        <w:rPr>
          <w:rFonts w:hint="eastAsia" w:ascii="仿宋_GB2312" w:hAnsi="Times New Roman" w:eastAsia="仿宋_GB2312" w:cs="DengXian-Regular"/>
          <w:sz w:val="32"/>
          <w:szCs w:val="32"/>
          <w:highlight w:val="none"/>
          <w:lang w:eastAsia="zh-CN"/>
        </w:rPr>
        <w:t>减少</w:t>
      </w:r>
      <w:r>
        <w:rPr>
          <w:rFonts w:hint="eastAsia" w:ascii="仿宋_GB2312" w:hAnsi="Times New Roman" w:eastAsia="仿宋_GB2312" w:cs="DengXian-Regular"/>
          <w:sz w:val="32"/>
          <w:szCs w:val="32"/>
          <w:highlight w:val="none"/>
          <w:lang w:val="en-US" w:eastAsia="zh-CN"/>
        </w:rPr>
        <w:t>100％</w:t>
      </w:r>
      <w:r>
        <w:rPr>
          <w:rFonts w:hint="eastAsia" w:ascii="仿宋_GB2312" w:hAnsi="Times New Roman" w:eastAsia="仿宋_GB2312" w:cs="DengXian-Regular"/>
          <w:sz w:val="32"/>
          <w:szCs w:val="32"/>
        </w:rPr>
        <w:t>；与2020年度决算支出持平。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组织对2021年度一般公共预算项目支出全面开展绩效自评，其中，一级项目</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rPr>
        <w:t>。组织对2021年度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个政府性基金预算项目支出开展绩效自评，共涉及资金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组织对一级项目开展了重点评价</w:t>
      </w:r>
      <w:r>
        <w:rPr>
          <w:rFonts w:hint="eastAsia" w:ascii="仿宋_GB2312" w:hAnsi="仿宋_GB2312" w:eastAsia="仿宋_GB2312" w:cs="仿宋_GB2312"/>
          <w:sz w:val="32"/>
          <w:szCs w:val="32"/>
          <w:lang w:eastAsia="zh-CN"/>
        </w:rPr>
        <w:t>：无</w:t>
      </w:r>
    </w:p>
    <w:p>
      <w:pPr>
        <w:adjustRightInd w:val="0"/>
        <w:snapToGrid w:val="0"/>
        <w:spacing w:line="58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涉及一般公共预算支出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委托第三方机构(或部内评审机构)开展绩效评价。</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在今年部门决算公开中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反映</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粮油质量检验检测经费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个项目绩效自评结果。</w:t>
      </w:r>
      <w:r>
        <w:rPr>
          <w:rFonts w:hint="eastAsia" w:ascii="仿宋_GB2312" w:hAnsi="仿宋_GB2312" w:eastAsia="仿宋_GB2312" w:cs="仿宋_GB2312"/>
          <w:sz w:val="32"/>
          <w:szCs w:val="32"/>
          <w:lang w:val="en-US" w:eastAsia="zh-CN"/>
        </w:rPr>
        <w:t xml:space="preserve"> </w:t>
      </w:r>
    </w:p>
    <w:p>
      <w:pPr>
        <w:pBdr>
          <w:bottom w:val="single" w:color="FFFFFF" w:sz="4" w:space="31"/>
        </w:pBd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粮油质量检验检测经费</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粮油质量检验检测经费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（包括调剂补充经费</w:t>
      </w:r>
      <w:r>
        <w:rPr>
          <w:rFonts w:hint="eastAsia" w:ascii="仿宋_GB2312" w:hAnsi="仿宋_GB2312" w:eastAsia="仿宋_GB2312" w:cs="仿宋_GB2312"/>
          <w:sz w:val="32"/>
          <w:szCs w:val="32"/>
          <w:lang w:val="en-US" w:eastAsia="zh-CN"/>
        </w:rPr>
        <w:t>5万元）</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Bdr>
          <w:bottom w:val="single" w:color="FFFFFF" w:sz="4" w:space="31"/>
        </w:pBd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项目绩效目标完成情况：</w:t>
      </w:r>
      <w:r>
        <w:rPr>
          <w:rFonts w:hint="eastAsia" w:ascii="仿宋_GB2312" w:hAnsi="仿宋" w:eastAsia="仿宋_GB2312"/>
          <w:color w:val="000000"/>
          <w:sz w:val="32"/>
          <w:szCs w:val="32"/>
          <w:lang w:eastAsia="zh-CN"/>
        </w:rPr>
        <w:t>我单位</w:t>
      </w:r>
      <w:r>
        <w:rPr>
          <w:rFonts w:hint="eastAsia" w:ascii="仿宋_GB2312" w:hAnsi="仿宋" w:eastAsia="仿宋_GB2312"/>
          <w:color w:val="000000"/>
          <w:sz w:val="32"/>
          <w:szCs w:val="32"/>
        </w:rPr>
        <w:t>紧紧围绕</w:t>
      </w:r>
      <w:r>
        <w:rPr>
          <w:rFonts w:hint="eastAsia" w:ascii="仿宋_GB2312" w:hAnsi="仿宋" w:eastAsia="仿宋_GB2312"/>
          <w:color w:val="000000"/>
          <w:sz w:val="32"/>
          <w:szCs w:val="32"/>
          <w:lang w:eastAsia="zh-CN"/>
        </w:rPr>
        <w:t>保证粮食质量安全</w:t>
      </w:r>
      <w:r>
        <w:rPr>
          <w:rFonts w:hint="eastAsia" w:ascii="仿宋_GB2312" w:hAnsi="仿宋" w:eastAsia="仿宋_GB2312"/>
          <w:color w:val="000000"/>
          <w:sz w:val="32"/>
          <w:szCs w:val="32"/>
        </w:rPr>
        <w:t>基本要求，对</w:t>
      </w:r>
      <w:r>
        <w:rPr>
          <w:rFonts w:hint="eastAsia" w:ascii="仿宋_GB2312" w:hAnsi="仿宋" w:eastAsia="仿宋_GB2312"/>
          <w:color w:val="000000"/>
          <w:sz w:val="32"/>
          <w:szCs w:val="32"/>
          <w:lang w:eastAsia="zh-CN"/>
        </w:rPr>
        <w:t>上级下达粮食检验任务</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按照粮食检验工作程序和国家标准，及时进行扦样、检验和出具检验报告和检验数据，为主管部门加强粮食质量管理提供数据支持，同时</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也督促被检企业在粮食收购、储备等环节加强管理，保证粮食质量安全</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通过项目实施，完成了本年度上级下达的粮油安全质量检测任务，同时也</w:t>
      </w:r>
      <w:r>
        <w:rPr>
          <w:rFonts w:hint="eastAsia" w:ascii="仿宋_GB2312" w:hAnsi="仿宋_GB2312" w:eastAsia="仿宋_GB2312" w:cs="仿宋_GB2312"/>
          <w:sz w:val="32"/>
          <w:szCs w:val="32"/>
          <w:highlight w:val="none"/>
        </w:rPr>
        <w:t>完成了年初设定的各项绩效目标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综合评定等级：优。</w:t>
      </w:r>
    </w:p>
    <w:p>
      <w:pPr>
        <w:pStyle w:val="2"/>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绩效自评表</w:t>
      </w:r>
      <w:r>
        <w:rPr>
          <w:rFonts w:hint="eastAsia" w:ascii="仿宋_GB2312" w:hAnsi="仿宋_GB2312" w:eastAsia="仿宋_GB2312" w:cs="仿宋_GB2312"/>
          <w:sz w:val="32"/>
          <w:szCs w:val="32"/>
          <w:lang w:val="en-US" w:eastAsia="zh-CN"/>
        </w:rPr>
        <w:t>:</w:t>
      </w:r>
    </w:p>
    <w:p>
      <w:pP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val="en-US" w:eastAsia="zh-CN"/>
        </w:rPr>
        <w:t>粮油质量监测经费：</w:t>
      </w:r>
    </w:p>
    <w:tbl>
      <w:tblPr>
        <w:tblStyle w:val="6"/>
        <w:tblpPr w:leftFromText="180" w:rightFromText="180" w:vertAnchor="text" w:horzAnchor="page" w:tblpX="1498" w:tblpY="762"/>
        <w:tblOverlap w:val="never"/>
        <w:tblW w:w="92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982"/>
        <w:gridCol w:w="1215"/>
        <w:gridCol w:w="631"/>
        <w:gridCol w:w="691"/>
        <w:gridCol w:w="445"/>
        <w:gridCol w:w="1287"/>
        <w:gridCol w:w="764"/>
        <w:gridCol w:w="222"/>
        <w:gridCol w:w="459"/>
        <w:gridCol w:w="251"/>
        <w:gridCol w:w="636"/>
        <w:gridCol w:w="216"/>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tcPr>
          <w:p>
            <w:pPr>
              <w:pStyle w:val="9"/>
              <w:spacing w:before="68"/>
              <w:ind w:left="428"/>
              <w:rPr>
                <w:sz w:val="18"/>
              </w:rPr>
            </w:pPr>
            <w:r>
              <w:rPr>
                <w:sz w:val="18"/>
              </w:rPr>
              <w:t>项目名称</w:t>
            </w:r>
          </w:p>
        </w:tc>
        <w:tc>
          <w:tcPr>
            <w:tcW w:w="7664" w:type="dxa"/>
            <w:gridSpan w:val="12"/>
          </w:tcPr>
          <w:p>
            <w:pPr>
              <w:pStyle w:val="9"/>
              <w:spacing w:before="35"/>
              <w:ind w:left="2904" w:right="1639" w:rightChars="0"/>
              <w:jc w:val="left"/>
              <w:rPr>
                <w:rFonts w:hint="default" w:ascii="仿宋" w:eastAsia="仿宋"/>
                <w:sz w:val="21"/>
                <w:lang w:val="en-US" w:eastAsia="zh-CN"/>
              </w:rPr>
            </w:pPr>
            <w:r>
              <w:rPr>
                <w:rFonts w:hint="eastAsia" w:ascii="仿宋" w:eastAsia="仿宋"/>
                <w:sz w:val="21"/>
                <w:lang w:val="en-US" w:eastAsia="zh-CN"/>
              </w:rPr>
              <w:t>粮油质量监测经费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tcPr>
          <w:p>
            <w:pPr>
              <w:pStyle w:val="9"/>
              <w:spacing w:before="68"/>
              <w:ind w:left="428"/>
              <w:rPr>
                <w:sz w:val="18"/>
              </w:rPr>
            </w:pPr>
            <w:r>
              <w:rPr>
                <w:sz w:val="18"/>
              </w:rPr>
              <w:t>主管部门</w:t>
            </w:r>
          </w:p>
        </w:tc>
        <w:tc>
          <w:tcPr>
            <w:tcW w:w="4269" w:type="dxa"/>
            <w:gridSpan w:val="5"/>
          </w:tcPr>
          <w:p>
            <w:pPr>
              <w:pStyle w:val="9"/>
              <w:rPr>
                <w:rFonts w:hint="eastAsia" w:ascii="Times New Roman" w:eastAsia="宋体"/>
                <w:sz w:val="18"/>
                <w:lang w:eastAsia="zh-CN"/>
              </w:rPr>
            </w:pPr>
            <w:r>
              <w:rPr>
                <w:rFonts w:hint="eastAsia" w:ascii="Times New Roman"/>
                <w:sz w:val="18"/>
                <w:lang w:eastAsia="zh-CN"/>
              </w:rPr>
              <w:t>承德市发展和改革委员会</w:t>
            </w:r>
          </w:p>
        </w:tc>
        <w:tc>
          <w:tcPr>
            <w:tcW w:w="986" w:type="dxa"/>
            <w:gridSpan w:val="2"/>
          </w:tcPr>
          <w:p>
            <w:pPr>
              <w:pStyle w:val="9"/>
              <w:spacing w:before="68"/>
              <w:ind w:left="213"/>
              <w:rPr>
                <w:sz w:val="18"/>
              </w:rPr>
            </w:pPr>
            <w:r>
              <w:rPr>
                <w:sz w:val="18"/>
              </w:rPr>
              <w:t>实施单位</w:t>
            </w:r>
          </w:p>
        </w:tc>
        <w:tc>
          <w:tcPr>
            <w:tcW w:w="2409" w:type="dxa"/>
            <w:gridSpan w:val="5"/>
          </w:tcPr>
          <w:p>
            <w:pPr>
              <w:pStyle w:val="9"/>
              <w:spacing w:before="68"/>
              <w:ind w:left="210" w:leftChars="0" w:right="164" w:rightChars="0" w:hanging="210" w:hangingChars="117"/>
              <w:jc w:val="center"/>
              <w:rPr>
                <w:rFonts w:hint="eastAsia" w:eastAsia="宋体"/>
                <w:sz w:val="18"/>
                <w:lang w:eastAsia="zh-CN"/>
              </w:rPr>
            </w:pPr>
            <w:r>
              <w:rPr>
                <w:rFonts w:hint="eastAsia"/>
                <w:sz w:val="18"/>
                <w:lang w:eastAsia="zh-CN"/>
              </w:rPr>
              <w:t>承德市粮油质量检测中心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571" w:type="dxa"/>
            <w:gridSpan w:val="2"/>
            <w:vMerge w:val="restart"/>
          </w:tcPr>
          <w:p>
            <w:pPr>
              <w:pStyle w:val="9"/>
              <w:rPr>
                <w:sz w:val="18"/>
              </w:rPr>
            </w:pPr>
          </w:p>
          <w:p>
            <w:pPr>
              <w:pStyle w:val="9"/>
              <w:rPr>
                <w:sz w:val="18"/>
              </w:rPr>
            </w:pPr>
          </w:p>
          <w:p>
            <w:pPr>
              <w:pStyle w:val="9"/>
              <w:spacing w:before="12"/>
              <w:rPr>
                <w:sz w:val="15"/>
              </w:rPr>
            </w:pPr>
          </w:p>
          <w:p>
            <w:pPr>
              <w:pStyle w:val="9"/>
              <w:ind w:left="428"/>
              <w:rPr>
                <w:sz w:val="18"/>
              </w:rPr>
            </w:pPr>
            <w:r>
              <w:rPr>
                <w:sz w:val="18"/>
              </w:rPr>
              <w:t>项目资金</w:t>
            </w:r>
          </w:p>
          <w:p>
            <w:pPr>
              <w:pStyle w:val="9"/>
              <w:spacing w:before="12"/>
              <w:ind w:left="428"/>
              <w:rPr>
                <w:sz w:val="18"/>
              </w:rPr>
            </w:pPr>
            <w:r>
              <w:rPr>
                <w:sz w:val="18"/>
              </w:rPr>
              <w:t>（万元）</w:t>
            </w:r>
          </w:p>
        </w:tc>
        <w:tc>
          <w:tcPr>
            <w:tcW w:w="1846" w:type="dxa"/>
            <w:gridSpan w:val="2"/>
          </w:tcPr>
          <w:p>
            <w:pPr>
              <w:pStyle w:val="9"/>
              <w:rPr>
                <w:rFonts w:ascii="Times New Roman"/>
                <w:sz w:val="18"/>
              </w:rPr>
            </w:pPr>
          </w:p>
        </w:tc>
        <w:tc>
          <w:tcPr>
            <w:tcW w:w="1136" w:type="dxa"/>
            <w:gridSpan w:val="2"/>
          </w:tcPr>
          <w:p>
            <w:pPr>
              <w:pStyle w:val="9"/>
              <w:spacing w:before="66"/>
              <w:ind w:left="102" w:right="84"/>
              <w:jc w:val="center"/>
              <w:rPr>
                <w:sz w:val="18"/>
              </w:rPr>
            </w:pPr>
            <w:r>
              <w:rPr>
                <w:sz w:val="18"/>
              </w:rPr>
              <w:t>年初预算数</w:t>
            </w:r>
          </w:p>
        </w:tc>
        <w:tc>
          <w:tcPr>
            <w:tcW w:w="1287" w:type="dxa"/>
          </w:tcPr>
          <w:p>
            <w:pPr>
              <w:pStyle w:val="9"/>
              <w:spacing w:before="66"/>
              <w:ind w:left="121"/>
              <w:rPr>
                <w:sz w:val="18"/>
              </w:rPr>
            </w:pPr>
            <w:r>
              <w:rPr>
                <w:sz w:val="18"/>
              </w:rPr>
              <w:t>全年预算数</w:t>
            </w:r>
          </w:p>
        </w:tc>
        <w:tc>
          <w:tcPr>
            <w:tcW w:w="986" w:type="dxa"/>
            <w:gridSpan w:val="2"/>
          </w:tcPr>
          <w:p>
            <w:pPr>
              <w:pStyle w:val="9"/>
              <w:spacing w:before="66"/>
              <w:ind w:left="121"/>
              <w:rPr>
                <w:sz w:val="18"/>
              </w:rPr>
            </w:pPr>
            <w:r>
              <w:rPr>
                <w:sz w:val="18"/>
              </w:rPr>
              <w:t>全年执行数</w:t>
            </w:r>
          </w:p>
        </w:tc>
        <w:tc>
          <w:tcPr>
            <w:tcW w:w="710" w:type="dxa"/>
            <w:gridSpan w:val="2"/>
          </w:tcPr>
          <w:p>
            <w:pPr>
              <w:pStyle w:val="9"/>
              <w:spacing w:before="66"/>
              <w:ind w:left="178"/>
              <w:rPr>
                <w:sz w:val="18"/>
              </w:rPr>
            </w:pPr>
            <w:r>
              <w:rPr>
                <w:sz w:val="18"/>
              </w:rPr>
              <w:t>分值</w:t>
            </w:r>
          </w:p>
        </w:tc>
        <w:tc>
          <w:tcPr>
            <w:tcW w:w="852" w:type="dxa"/>
            <w:gridSpan w:val="2"/>
          </w:tcPr>
          <w:p>
            <w:pPr>
              <w:pStyle w:val="9"/>
              <w:spacing w:before="66"/>
              <w:ind w:left="159"/>
              <w:rPr>
                <w:sz w:val="18"/>
              </w:rPr>
            </w:pPr>
            <w:r>
              <w:rPr>
                <w:sz w:val="18"/>
              </w:rPr>
              <w:t>执行率</w:t>
            </w:r>
          </w:p>
        </w:tc>
        <w:tc>
          <w:tcPr>
            <w:tcW w:w="847" w:type="dxa"/>
          </w:tcPr>
          <w:p>
            <w:pPr>
              <w:pStyle w:val="9"/>
              <w:spacing w:before="66"/>
              <w:ind w:left="159" w:right="143"/>
              <w:jc w:val="center"/>
              <w:rPr>
                <w:sz w:val="18"/>
              </w:rPr>
            </w:pPr>
            <w:r>
              <w:rPr>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8"/>
              <w:ind w:left="112"/>
              <w:rPr>
                <w:sz w:val="18"/>
              </w:rPr>
            </w:pPr>
            <w:r>
              <w:rPr>
                <w:sz w:val="18"/>
              </w:rPr>
              <w:t>年度资金总额</w:t>
            </w:r>
          </w:p>
        </w:tc>
        <w:tc>
          <w:tcPr>
            <w:tcW w:w="1136" w:type="dxa"/>
            <w:gridSpan w:val="2"/>
          </w:tcPr>
          <w:p>
            <w:pPr>
              <w:pStyle w:val="9"/>
              <w:spacing w:before="68"/>
              <w:ind w:left="19"/>
              <w:jc w:val="center"/>
              <w:rPr>
                <w:rFonts w:hint="default" w:eastAsia="宋体"/>
                <w:sz w:val="18"/>
                <w:lang w:val="en-US" w:eastAsia="zh-CN"/>
              </w:rPr>
            </w:pPr>
            <w:r>
              <w:rPr>
                <w:rFonts w:hint="eastAsia"/>
                <w:sz w:val="18"/>
                <w:lang w:val="en-US" w:eastAsia="zh-CN"/>
              </w:rPr>
              <w:t>20</w:t>
            </w:r>
          </w:p>
        </w:tc>
        <w:tc>
          <w:tcPr>
            <w:tcW w:w="1287" w:type="dxa"/>
          </w:tcPr>
          <w:p>
            <w:pPr>
              <w:pStyle w:val="9"/>
              <w:spacing w:before="68"/>
              <w:ind w:left="16"/>
              <w:jc w:val="center"/>
              <w:rPr>
                <w:rFonts w:hint="default" w:eastAsia="宋体"/>
                <w:sz w:val="18"/>
                <w:lang w:val="en-US" w:eastAsia="zh-CN"/>
              </w:rPr>
            </w:pPr>
            <w:r>
              <w:rPr>
                <w:rFonts w:hint="eastAsia"/>
                <w:sz w:val="18"/>
                <w:lang w:val="en-US" w:eastAsia="zh-CN"/>
              </w:rPr>
              <w:t>20</w:t>
            </w:r>
          </w:p>
        </w:tc>
        <w:tc>
          <w:tcPr>
            <w:tcW w:w="986" w:type="dxa"/>
            <w:gridSpan w:val="2"/>
          </w:tcPr>
          <w:p>
            <w:pPr>
              <w:pStyle w:val="9"/>
              <w:spacing w:before="68"/>
              <w:ind w:left="19"/>
              <w:jc w:val="center"/>
              <w:rPr>
                <w:rFonts w:hint="default" w:eastAsia="宋体"/>
                <w:sz w:val="18"/>
                <w:lang w:val="en-US" w:eastAsia="zh-CN"/>
              </w:rPr>
            </w:pPr>
            <w:r>
              <w:rPr>
                <w:rFonts w:hint="eastAsia"/>
                <w:sz w:val="18"/>
                <w:lang w:val="en-US" w:eastAsia="zh-CN"/>
              </w:rPr>
              <w:t>20</w:t>
            </w:r>
          </w:p>
        </w:tc>
        <w:tc>
          <w:tcPr>
            <w:tcW w:w="710" w:type="dxa"/>
            <w:gridSpan w:val="2"/>
          </w:tcPr>
          <w:p>
            <w:pPr>
              <w:pStyle w:val="9"/>
              <w:spacing w:before="68"/>
              <w:ind w:left="157"/>
              <w:rPr>
                <w:sz w:val="18"/>
              </w:rPr>
            </w:pPr>
            <w:r>
              <w:rPr>
                <w:sz w:val="18"/>
              </w:rPr>
              <w:t>10 分</w:t>
            </w:r>
          </w:p>
        </w:tc>
        <w:tc>
          <w:tcPr>
            <w:tcW w:w="852" w:type="dxa"/>
            <w:gridSpan w:val="2"/>
          </w:tcPr>
          <w:p>
            <w:pPr>
              <w:pStyle w:val="9"/>
              <w:spacing w:before="68"/>
              <w:ind w:left="294"/>
              <w:rPr>
                <w:sz w:val="18"/>
              </w:rPr>
            </w:pPr>
            <w:r>
              <w:rPr>
                <w:sz w:val="18"/>
              </w:rPr>
              <w:t>100</w:t>
            </w:r>
          </w:p>
        </w:tc>
        <w:tc>
          <w:tcPr>
            <w:tcW w:w="847" w:type="dxa"/>
          </w:tcPr>
          <w:p>
            <w:pPr>
              <w:pStyle w:val="9"/>
              <w:spacing w:before="68"/>
              <w:ind w:left="133"/>
              <w:rPr>
                <w:sz w:val="18"/>
              </w:rPr>
            </w:pPr>
            <w:r>
              <w:rPr>
                <w:sz w:val="18"/>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8"/>
              <w:ind w:left="117"/>
              <w:rPr>
                <w:sz w:val="18"/>
              </w:rPr>
            </w:pPr>
            <w:r>
              <w:rPr>
                <w:sz w:val="18"/>
              </w:rPr>
              <w:t>其中：当年财政拨款</w:t>
            </w:r>
          </w:p>
        </w:tc>
        <w:tc>
          <w:tcPr>
            <w:tcW w:w="1136" w:type="dxa"/>
            <w:gridSpan w:val="2"/>
          </w:tcPr>
          <w:p>
            <w:pPr>
              <w:pStyle w:val="9"/>
              <w:spacing w:before="68"/>
              <w:ind w:left="19"/>
              <w:jc w:val="center"/>
              <w:rPr>
                <w:rFonts w:hint="default" w:eastAsia="宋体"/>
                <w:sz w:val="18"/>
                <w:lang w:val="en-US" w:eastAsia="zh-CN"/>
              </w:rPr>
            </w:pPr>
            <w:r>
              <w:rPr>
                <w:rFonts w:hint="eastAsia"/>
                <w:sz w:val="18"/>
                <w:lang w:val="en-US" w:eastAsia="zh-CN"/>
              </w:rPr>
              <w:t>20</w:t>
            </w:r>
          </w:p>
        </w:tc>
        <w:tc>
          <w:tcPr>
            <w:tcW w:w="1287" w:type="dxa"/>
          </w:tcPr>
          <w:p>
            <w:pPr>
              <w:pStyle w:val="9"/>
              <w:spacing w:before="68"/>
              <w:ind w:left="16"/>
              <w:jc w:val="center"/>
              <w:rPr>
                <w:rFonts w:hint="default" w:eastAsia="宋体"/>
                <w:sz w:val="18"/>
                <w:lang w:val="en-US" w:eastAsia="zh-CN"/>
              </w:rPr>
            </w:pPr>
            <w:r>
              <w:rPr>
                <w:rFonts w:hint="eastAsia"/>
                <w:sz w:val="18"/>
                <w:lang w:val="en-US" w:eastAsia="zh-CN"/>
              </w:rPr>
              <w:t>20</w:t>
            </w:r>
          </w:p>
        </w:tc>
        <w:tc>
          <w:tcPr>
            <w:tcW w:w="986" w:type="dxa"/>
            <w:gridSpan w:val="2"/>
          </w:tcPr>
          <w:p>
            <w:pPr>
              <w:pStyle w:val="9"/>
              <w:spacing w:before="68"/>
              <w:ind w:left="19"/>
              <w:jc w:val="center"/>
              <w:rPr>
                <w:rFonts w:hint="default" w:eastAsia="宋体"/>
                <w:sz w:val="18"/>
                <w:lang w:val="en-US" w:eastAsia="zh-CN"/>
              </w:rPr>
            </w:pPr>
            <w:r>
              <w:rPr>
                <w:rFonts w:hint="eastAsia"/>
                <w:sz w:val="18"/>
                <w:lang w:val="en-US" w:eastAsia="zh-CN"/>
              </w:rPr>
              <w:t>20</w:t>
            </w:r>
          </w:p>
        </w:tc>
        <w:tc>
          <w:tcPr>
            <w:tcW w:w="710" w:type="dxa"/>
            <w:gridSpan w:val="2"/>
          </w:tcPr>
          <w:p>
            <w:pPr>
              <w:pStyle w:val="9"/>
              <w:spacing w:before="68"/>
              <w:ind w:left="19"/>
              <w:jc w:val="center"/>
              <w:rPr>
                <w:sz w:val="18"/>
              </w:rPr>
            </w:pPr>
            <w:r>
              <w:rPr>
                <w:sz w:val="18"/>
              </w:rPr>
              <w:t>—</w:t>
            </w:r>
          </w:p>
        </w:tc>
        <w:tc>
          <w:tcPr>
            <w:tcW w:w="852" w:type="dxa"/>
            <w:gridSpan w:val="2"/>
          </w:tcPr>
          <w:p>
            <w:pPr>
              <w:pStyle w:val="9"/>
              <w:spacing w:before="68"/>
              <w:ind w:left="294"/>
              <w:rPr>
                <w:sz w:val="18"/>
              </w:rPr>
            </w:pPr>
            <w:r>
              <w:rPr>
                <w:sz w:val="18"/>
              </w:rPr>
              <w:t>100</w:t>
            </w:r>
          </w:p>
        </w:tc>
        <w:tc>
          <w:tcPr>
            <w:tcW w:w="847" w:type="dxa"/>
          </w:tcPr>
          <w:p>
            <w:pPr>
              <w:pStyle w:val="9"/>
              <w:spacing w:before="68"/>
              <w:ind w:left="1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7"/>
              <w:ind w:left="657"/>
              <w:rPr>
                <w:sz w:val="18"/>
              </w:rPr>
            </w:pPr>
            <w:r>
              <w:rPr>
                <w:sz w:val="18"/>
              </w:rPr>
              <w:t>上年结转资金</w:t>
            </w:r>
          </w:p>
        </w:tc>
        <w:tc>
          <w:tcPr>
            <w:tcW w:w="1136" w:type="dxa"/>
            <w:gridSpan w:val="2"/>
          </w:tcPr>
          <w:p>
            <w:pPr>
              <w:pStyle w:val="9"/>
              <w:rPr>
                <w:rFonts w:ascii="Times New Roman"/>
                <w:sz w:val="18"/>
              </w:rPr>
            </w:pPr>
          </w:p>
        </w:tc>
        <w:tc>
          <w:tcPr>
            <w:tcW w:w="1287" w:type="dxa"/>
          </w:tcPr>
          <w:p>
            <w:pPr>
              <w:pStyle w:val="9"/>
              <w:rPr>
                <w:rFonts w:ascii="Times New Roman"/>
                <w:sz w:val="18"/>
              </w:rPr>
            </w:pPr>
          </w:p>
        </w:tc>
        <w:tc>
          <w:tcPr>
            <w:tcW w:w="986" w:type="dxa"/>
            <w:gridSpan w:val="2"/>
          </w:tcPr>
          <w:p>
            <w:pPr>
              <w:pStyle w:val="9"/>
              <w:rPr>
                <w:rFonts w:ascii="Times New Roman"/>
                <w:sz w:val="18"/>
              </w:rPr>
            </w:pPr>
          </w:p>
        </w:tc>
        <w:tc>
          <w:tcPr>
            <w:tcW w:w="710" w:type="dxa"/>
            <w:gridSpan w:val="2"/>
          </w:tcPr>
          <w:p>
            <w:pPr>
              <w:pStyle w:val="9"/>
              <w:spacing w:before="67"/>
              <w:ind w:left="19"/>
              <w:jc w:val="center"/>
              <w:rPr>
                <w:sz w:val="18"/>
              </w:rPr>
            </w:pPr>
            <w:r>
              <w:rPr>
                <w:sz w:val="18"/>
              </w:rPr>
              <w:t>—</w:t>
            </w:r>
          </w:p>
        </w:tc>
        <w:tc>
          <w:tcPr>
            <w:tcW w:w="852" w:type="dxa"/>
            <w:gridSpan w:val="2"/>
          </w:tcPr>
          <w:p>
            <w:pPr>
              <w:pStyle w:val="9"/>
              <w:rPr>
                <w:rFonts w:ascii="Times New Roman"/>
                <w:sz w:val="18"/>
              </w:rPr>
            </w:pPr>
          </w:p>
        </w:tc>
        <w:tc>
          <w:tcPr>
            <w:tcW w:w="847" w:type="dxa"/>
          </w:tcPr>
          <w:p>
            <w:pPr>
              <w:pStyle w:val="9"/>
              <w:spacing w:before="67"/>
              <w:ind w:left="1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7"/>
              <w:ind w:left="657"/>
              <w:rPr>
                <w:sz w:val="18"/>
              </w:rPr>
            </w:pPr>
            <w:r>
              <w:rPr>
                <w:sz w:val="18"/>
              </w:rPr>
              <w:t>其他资金</w:t>
            </w:r>
          </w:p>
        </w:tc>
        <w:tc>
          <w:tcPr>
            <w:tcW w:w="1136" w:type="dxa"/>
            <w:gridSpan w:val="2"/>
          </w:tcPr>
          <w:p>
            <w:pPr>
              <w:pStyle w:val="9"/>
              <w:rPr>
                <w:rFonts w:ascii="Times New Roman"/>
                <w:sz w:val="18"/>
              </w:rPr>
            </w:pPr>
          </w:p>
        </w:tc>
        <w:tc>
          <w:tcPr>
            <w:tcW w:w="1287" w:type="dxa"/>
          </w:tcPr>
          <w:p>
            <w:pPr>
              <w:pStyle w:val="9"/>
              <w:rPr>
                <w:rFonts w:ascii="Times New Roman"/>
                <w:sz w:val="18"/>
              </w:rPr>
            </w:pPr>
          </w:p>
        </w:tc>
        <w:tc>
          <w:tcPr>
            <w:tcW w:w="986" w:type="dxa"/>
            <w:gridSpan w:val="2"/>
          </w:tcPr>
          <w:p>
            <w:pPr>
              <w:pStyle w:val="9"/>
              <w:rPr>
                <w:rFonts w:ascii="Times New Roman"/>
                <w:sz w:val="18"/>
              </w:rPr>
            </w:pPr>
          </w:p>
        </w:tc>
        <w:tc>
          <w:tcPr>
            <w:tcW w:w="710" w:type="dxa"/>
            <w:gridSpan w:val="2"/>
          </w:tcPr>
          <w:p>
            <w:pPr>
              <w:pStyle w:val="9"/>
              <w:spacing w:before="67"/>
              <w:ind w:left="19"/>
              <w:jc w:val="center"/>
              <w:rPr>
                <w:sz w:val="18"/>
              </w:rPr>
            </w:pPr>
            <w:r>
              <w:rPr>
                <w:sz w:val="18"/>
              </w:rPr>
              <w:t>—</w:t>
            </w:r>
          </w:p>
        </w:tc>
        <w:tc>
          <w:tcPr>
            <w:tcW w:w="852" w:type="dxa"/>
            <w:gridSpan w:val="2"/>
          </w:tcPr>
          <w:p>
            <w:pPr>
              <w:pStyle w:val="9"/>
              <w:rPr>
                <w:rFonts w:ascii="Times New Roman"/>
                <w:sz w:val="18"/>
              </w:rPr>
            </w:pPr>
          </w:p>
        </w:tc>
        <w:tc>
          <w:tcPr>
            <w:tcW w:w="847" w:type="dxa"/>
          </w:tcPr>
          <w:p>
            <w:pPr>
              <w:pStyle w:val="9"/>
              <w:spacing w:before="67"/>
              <w:ind w:left="1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9" w:type="dxa"/>
            <w:vMerge w:val="restart"/>
          </w:tcPr>
          <w:p>
            <w:pPr>
              <w:pStyle w:val="9"/>
              <w:rPr>
                <w:sz w:val="18"/>
              </w:rPr>
            </w:pPr>
          </w:p>
          <w:p>
            <w:pPr>
              <w:pStyle w:val="9"/>
              <w:spacing w:before="8"/>
              <w:rPr>
                <w:sz w:val="13"/>
              </w:rPr>
            </w:pPr>
          </w:p>
          <w:p>
            <w:pPr>
              <w:pStyle w:val="9"/>
              <w:spacing w:before="1" w:line="252" w:lineRule="auto"/>
              <w:ind w:left="119" w:right="95"/>
              <w:jc w:val="both"/>
              <w:rPr>
                <w:sz w:val="18"/>
              </w:rPr>
            </w:pPr>
            <w:r>
              <w:rPr>
                <w:sz w:val="18"/>
              </w:rPr>
              <w:t>年度总体目标</w:t>
            </w:r>
          </w:p>
        </w:tc>
        <w:tc>
          <w:tcPr>
            <w:tcW w:w="5251" w:type="dxa"/>
            <w:gridSpan w:val="6"/>
          </w:tcPr>
          <w:p>
            <w:pPr>
              <w:pStyle w:val="9"/>
              <w:spacing w:before="67"/>
              <w:ind w:left="2174" w:right="2157"/>
              <w:jc w:val="center"/>
              <w:rPr>
                <w:sz w:val="18"/>
              </w:rPr>
            </w:pPr>
            <w:r>
              <w:rPr>
                <w:sz w:val="18"/>
              </w:rPr>
              <w:t>预期目标</w:t>
            </w:r>
          </w:p>
        </w:tc>
        <w:tc>
          <w:tcPr>
            <w:tcW w:w="3395" w:type="dxa"/>
            <w:gridSpan w:val="7"/>
          </w:tcPr>
          <w:p>
            <w:pPr>
              <w:pStyle w:val="9"/>
              <w:spacing w:before="67"/>
              <w:ind w:left="1148" w:right="1132"/>
              <w:jc w:val="center"/>
              <w:rPr>
                <w:sz w:val="18"/>
              </w:rPr>
            </w:pPr>
            <w:r>
              <w:rPr>
                <w:sz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589" w:type="dxa"/>
            <w:vMerge w:val="continue"/>
            <w:tcBorders>
              <w:top w:val="nil"/>
            </w:tcBorders>
          </w:tcPr>
          <w:p>
            <w:pPr>
              <w:rPr>
                <w:sz w:val="2"/>
                <w:szCs w:val="2"/>
              </w:rPr>
            </w:pPr>
          </w:p>
        </w:tc>
        <w:tc>
          <w:tcPr>
            <w:tcW w:w="5251" w:type="dxa"/>
            <w:gridSpan w:val="6"/>
          </w:tcPr>
          <w:p>
            <w:pPr>
              <w:pStyle w:val="9"/>
              <w:spacing w:before="68"/>
              <w:ind w:left="117"/>
              <w:jc w:val="center"/>
              <w:rPr>
                <w:rFonts w:hint="eastAsia"/>
                <w:sz w:val="18"/>
                <w:lang w:val="en-US" w:eastAsia="zh-CN"/>
              </w:rPr>
            </w:pPr>
            <w:r>
              <w:rPr>
                <w:rFonts w:hint="eastAsia"/>
                <w:sz w:val="18"/>
                <w:lang w:val="en-US" w:eastAsia="zh-CN"/>
              </w:rPr>
              <w:t>1.完成全市政策性粮油收购、储存和流通环节的质量、卫生检测工作；完成政策性粮油卫生监督检查与监测。粮食收获质量调查和品质测报工作。保障全市粮食质量安全。</w:t>
            </w:r>
          </w:p>
          <w:p>
            <w:pPr>
              <w:pStyle w:val="9"/>
              <w:spacing w:before="68"/>
              <w:ind w:left="117"/>
              <w:jc w:val="center"/>
              <w:rPr>
                <w:rFonts w:hint="default"/>
                <w:sz w:val="18"/>
                <w:lang w:val="en-US" w:eastAsia="zh-CN"/>
              </w:rPr>
            </w:pPr>
            <w:r>
              <w:rPr>
                <w:rFonts w:hint="eastAsia"/>
                <w:sz w:val="18"/>
                <w:lang w:val="en-US" w:eastAsia="zh-CN"/>
              </w:rPr>
              <w:t>2.进一步提升检测能力，百分百完成上级下达的专项检验检测任务</w:t>
            </w:r>
          </w:p>
        </w:tc>
        <w:tc>
          <w:tcPr>
            <w:tcW w:w="3395" w:type="dxa"/>
            <w:gridSpan w:val="7"/>
          </w:tcPr>
          <w:p>
            <w:pPr>
              <w:pStyle w:val="9"/>
              <w:spacing w:before="68"/>
              <w:ind w:left="117"/>
              <w:jc w:val="center"/>
              <w:rPr>
                <w:rFonts w:hint="eastAsia"/>
                <w:sz w:val="18"/>
                <w:lang w:val="en-US" w:eastAsia="zh-CN"/>
              </w:rPr>
            </w:pPr>
            <w:r>
              <w:rPr>
                <w:rFonts w:hint="eastAsia"/>
                <w:sz w:val="18"/>
                <w:lang w:val="en-US" w:eastAsia="zh-CN"/>
              </w:rPr>
              <w:t>共出具检验报告54份，其中接受监督检验样品18批次，接受外部委托20批次；接收专项检验样品16批次。出具数据未出报告45份，为新收获粮质安全监测样品44批次，入库检查样品1次。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89" w:type="dxa"/>
            <w:vMerge w:val="restart"/>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123" w:line="252" w:lineRule="auto"/>
              <w:ind w:left="207" w:right="189"/>
              <w:jc w:val="both"/>
              <w:rPr>
                <w:sz w:val="18"/>
              </w:rPr>
            </w:pPr>
            <w:r>
              <w:rPr>
                <w:sz w:val="18"/>
              </w:rPr>
              <w:t>绩效指标</w:t>
            </w:r>
          </w:p>
        </w:tc>
        <w:tc>
          <w:tcPr>
            <w:tcW w:w="982" w:type="dxa"/>
            <w:vAlign w:val="center"/>
          </w:tcPr>
          <w:p>
            <w:pPr>
              <w:pStyle w:val="9"/>
              <w:spacing w:before="2"/>
              <w:jc w:val="center"/>
              <w:rPr>
                <w:sz w:val="16"/>
              </w:rPr>
            </w:pPr>
          </w:p>
          <w:p>
            <w:pPr>
              <w:pStyle w:val="9"/>
              <w:ind w:left="134"/>
              <w:jc w:val="center"/>
              <w:rPr>
                <w:sz w:val="18"/>
              </w:rPr>
            </w:pPr>
            <w:r>
              <w:rPr>
                <w:sz w:val="18"/>
              </w:rPr>
              <w:t>一级指标</w:t>
            </w:r>
          </w:p>
        </w:tc>
        <w:tc>
          <w:tcPr>
            <w:tcW w:w="1215" w:type="dxa"/>
            <w:vAlign w:val="center"/>
          </w:tcPr>
          <w:p>
            <w:pPr>
              <w:pStyle w:val="9"/>
              <w:spacing w:before="68"/>
              <w:ind w:left="117"/>
              <w:jc w:val="center"/>
              <w:rPr>
                <w:rFonts w:hint="eastAsia"/>
                <w:sz w:val="18"/>
                <w:lang w:val="en-US" w:eastAsia="zh-CN"/>
              </w:rPr>
            </w:pPr>
          </w:p>
          <w:p>
            <w:pPr>
              <w:pStyle w:val="9"/>
              <w:spacing w:before="68"/>
              <w:ind w:left="117"/>
              <w:jc w:val="center"/>
              <w:rPr>
                <w:rFonts w:hint="eastAsia"/>
                <w:sz w:val="18"/>
                <w:lang w:val="en-US" w:eastAsia="zh-CN"/>
              </w:rPr>
            </w:pPr>
            <w:r>
              <w:rPr>
                <w:rFonts w:hint="eastAsia"/>
                <w:sz w:val="18"/>
                <w:lang w:val="en-US" w:eastAsia="zh-CN"/>
              </w:rPr>
              <w:t>二级指标</w:t>
            </w:r>
          </w:p>
        </w:tc>
        <w:tc>
          <w:tcPr>
            <w:tcW w:w="1322" w:type="dxa"/>
            <w:gridSpan w:val="2"/>
            <w:vAlign w:val="center"/>
          </w:tcPr>
          <w:p>
            <w:pPr>
              <w:pStyle w:val="9"/>
              <w:spacing w:before="68"/>
              <w:ind w:left="117"/>
              <w:jc w:val="center"/>
              <w:rPr>
                <w:rFonts w:hint="eastAsia"/>
                <w:sz w:val="18"/>
                <w:lang w:val="en-US" w:eastAsia="zh-CN"/>
              </w:rPr>
            </w:pPr>
          </w:p>
          <w:p>
            <w:pPr>
              <w:pStyle w:val="9"/>
              <w:spacing w:before="68"/>
              <w:ind w:left="117"/>
              <w:jc w:val="center"/>
              <w:rPr>
                <w:rFonts w:hint="eastAsia"/>
                <w:sz w:val="18"/>
                <w:lang w:val="en-US" w:eastAsia="zh-CN"/>
              </w:rPr>
            </w:pPr>
            <w:r>
              <w:rPr>
                <w:rFonts w:hint="eastAsia"/>
                <w:sz w:val="18"/>
                <w:lang w:val="en-US" w:eastAsia="zh-CN"/>
              </w:rPr>
              <w:t>三级指标</w:t>
            </w:r>
          </w:p>
        </w:tc>
        <w:tc>
          <w:tcPr>
            <w:tcW w:w="1732" w:type="dxa"/>
            <w:gridSpan w:val="2"/>
            <w:vAlign w:val="center"/>
          </w:tcPr>
          <w:p>
            <w:pPr>
              <w:pStyle w:val="9"/>
              <w:spacing w:before="68"/>
              <w:ind w:left="117"/>
              <w:jc w:val="center"/>
              <w:rPr>
                <w:rFonts w:hint="eastAsia"/>
                <w:sz w:val="18"/>
                <w:lang w:val="en-US" w:eastAsia="zh-CN"/>
              </w:rPr>
            </w:pPr>
            <w:r>
              <w:rPr>
                <w:rFonts w:hint="eastAsia"/>
                <w:sz w:val="18"/>
                <w:lang w:val="en-US" w:eastAsia="zh-CN"/>
              </w:rPr>
              <w:t>年度指标值</w:t>
            </w:r>
          </w:p>
        </w:tc>
        <w:tc>
          <w:tcPr>
            <w:tcW w:w="764" w:type="dxa"/>
            <w:vAlign w:val="center"/>
          </w:tcPr>
          <w:p>
            <w:pPr>
              <w:pStyle w:val="9"/>
              <w:spacing w:before="68"/>
              <w:ind w:left="117"/>
              <w:jc w:val="center"/>
              <w:rPr>
                <w:rFonts w:hint="eastAsia"/>
                <w:sz w:val="18"/>
                <w:lang w:val="en-US" w:eastAsia="zh-CN"/>
              </w:rPr>
            </w:pPr>
            <w:r>
              <w:rPr>
                <w:rFonts w:hint="eastAsia"/>
                <w:sz w:val="18"/>
                <w:lang w:val="en-US" w:eastAsia="zh-CN"/>
              </w:rPr>
              <w:t>实际完成值</w:t>
            </w:r>
          </w:p>
        </w:tc>
        <w:tc>
          <w:tcPr>
            <w:tcW w:w="681" w:type="dxa"/>
            <w:gridSpan w:val="2"/>
            <w:vAlign w:val="center"/>
          </w:tcPr>
          <w:p>
            <w:pPr>
              <w:pStyle w:val="9"/>
              <w:spacing w:before="85" w:line="252" w:lineRule="auto"/>
              <w:ind w:left="198" w:right="177"/>
              <w:jc w:val="center"/>
              <w:rPr>
                <w:sz w:val="18"/>
              </w:rPr>
            </w:pPr>
            <w:r>
              <w:rPr>
                <w:sz w:val="18"/>
              </w:rPr>
              <w:t>分值</w:t>
            </w:r>
          </w:p>
        </w:tc>
        <w:tc>
          <w:tcPr>
            <w:tcW w:w="887" w:type="dxa"/>
            <w:gridSpan w:val="2"/>
            <w:vAlign w:val="center"/>
          </w:tcPr>
          <w:p>
            <w:pPr>
              <w:pStyle w:val="9"/>
              <w:spacing w:before="85" w:line="252" w:lineRule="auto"/>
              <w:ind w:left="197" w:right="178"/>
              <w:jc w:val="center"/>
              <w:rPr>
                <w:sz w:val="18"/>
              </w:rPr>
            </w:pPr>
            <w:r>
              <w:rPr>
                <w:sz w:val="18"/>
              </w:rPr>
              <w:t>得分</w:t>
            </w:r>
          </w:p>
        </w:tc>
        <w:tc>
          <w:tcPr>
            <w:tcW w:w="1063" w:type="dxa"/>
            <w:gridSpan w:val="2"/>
            <w:vAlign w:val="center"/>
          </w:tcPr>
          <w:p>
            <w:pPr>
              <w:pStyle w:val="9"/>
              <w:spacing w:before="85" w:line="252" w:lineRule="auto"/>
              <w:ind w:left="265" w:right="153" w:hanging="89"/>
              <w:jc w:val="center"/>
              <w:rPr>
                <w:sz w:val="18"/>
              </w:rPr>
            </w:pPr>
            <w:r>
              <w:rPr>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89" w:type="dxa"/>
            <w:vMerge w:val="continue"/>
            <w:tcBorders>
              <w:top w:val="nil"/>
            </w:tcBorders>
          </w:tcPr>
          <w:p>
            <w:pPr>
              <w:rPr>
                <w:sz w:val="2"/>
                <w:szCs w:val="2"/>
              </w:rPr>
            </w:pPr>
          </w:p>
        </w:tc>
        <w:tc>
          <w:tcPr>
            <w:tcW w:w="982" w:type="dxa"/>
            <w:vMerge w:val="restart"/>
          </w:tcPr>
          <w:p>
            <w:pPr>
              <w:pStyle w:val="9"/>
              <w:spacing w:before="68"/>
              <w:ind w:left="117"/>
              <w:jc w:val="center"/>
              <w:rPr>
                <w:sz w:val="18"/>
              </w:rPr>
            </w:pPr>
          </w:p>
          <w:p>
            <w:pPr>
              <w:pStyle w:val="9"/>
              <w:spacing w:before="68"/>
              <w:ind w:left="117"/>
              <w:jc w:val="center"/>
              <w:rPr>
                <w:sz w:val="18"/>
              </w:rPr>
            </w:pPr>
          </w:p>
          <w:p>
            <w:pPr>
              <w:pStyle w:val="9"/>
              <w:spacing w:before="68"/>
              <w:ind w:left="117"/>
              <w:jc w:val="center"/>
              <w:rPr>
                <w:sz w:val="18"/>
              </w:rPr>
            </w:pPr>
          </w:p>
          <w:p>
            <w:pPr>
              <w:pStyle w:val="9"/>
              <w:spacing w:before="68"/>
              <w:ind w:left="117"/>
              <w:jc w:val="center"/>
              <w:rPr>
                <w:sz w:val="18"/>
              </w:rPr>
            </w:pPr>
          </w:p>
          <w:p>
            <w:pPr>
              <w:pStyle w:val="9"/>
              <w:spacing w:before="68"/>
              <w:ind w:left="117"/>
              <w:jc w:val="center"/>
              <w:rPr>
                <w:sz w:val="18"/>
              </w:rPr>
            </w:pPr>
            <w:r>
              <w:rPr>
                <w:sz w:val="18"/>
              </w:rPr>
              <w:t>产出指标50 分</w:t>
            </w:r>
          </w:p>
        </w:tc>
        <w:tc>
          <w:tcPr>
            <w:tcW w:w="1215" w:type="dxa"/>
            <w:vAlign w:val="center"/>
          </w:tcPr>
          <w:p>
            <w:pPr>
              <w:pStyle w:val="9"/>
              <w:spacing w:before="68"/>
              <w:ind w:left="117"/>
              <w:jc w:val="center"/>
              <w:rPr>
                <w:rFonts w:hint="eastAsia"/>
                <w:sz w:val="18"/>
                <w:lang w:val="en-US" w:eastAsia="zh-CN"/>
              </w:rPr>
            </w:pPr>
            <w:r>
              <w:rPr>
                <w:rFonts w:hint="eastAsia"/>
                <w:sz w:val="18"/>
                <w:lang w:val="en-US" w:eastAsia="zh-CN"/>
              </w:rPr>
              <w:t>数量指标</w:t>
            </w:r>
          </w:p>
        </w:tc>
        <w:tc>
          <w:tcPr>
            <w:tcW w:w="1322" w:type="dxa"/>
            <w:gridSpan w:val="2"/>
            <w:vAlign w:val="center"/>
          </w:tcPr>
          <w:p>
            <w:pPr>
              <w:pStyle w:val="9"/>
              <w:spacing w:before="68"/>
              <w:ind w:left="117"/>
              <w:jc w:val="center"/>
              <w:rPr>
                <w:rFonts w:hint="eastAsia"/>
                <w:sz w:val="18"/>
                <w:lang w:val="en-US" w:eastAsia="zh-CN"/>
              </w:rPr>
            </w:pPr>
            <w:r>
              <w:rPr>
                <w:rFonts w:hint="eastAsia"/>
                <w:sz w:val="18"/>
                <w:lang w:val="en-US" w:eastAsia="zh-CN"/>
              </w:rPr>
              <w:t>实际检测数量</w:t>
            </w:r>
          </w:p>
        </w:tc>
        <w:tc>
          <w:tcPr>
            <w:tcW w:w="1732" w:type="dxa"/>
            <w:gridSpan w:val="2"/>
            <w:vAlign w:val="center"/>
          </w:tcPr>
          <w:p>
            <w:pPr>
              <w:pStyle w:val="9"/>
              <w:spacing w:before="68"/>
              <w:ind w:left="117"/>
              <w:jc w:val="center"/>
              <w:rPr>
                <w:rFonts w:hint="eastAsia"/>
                <w:sz w:val="18"/>
                <w:lang w:val="en-US" w:eastAsia="zh-CN"/>
              </w:rPr>
            </w:pPr>
            <w:r>
              <w:rPr>
                <w:rFonts w:hint="eastAsia"/>
                <w:sz w:val="18"/>
                <w:lang w:val="en-US" w:eastAsia="zh-CN"/>
              </w:rPr>
              <w:t>上级下达检测数量</w:t>
            </w:r>
          </w:p>
        </w:tc>
        <w:tc>
          <w:tcPr>
            <w:tcW w:w="764" w:type="dxa"/>
            <w:vAlign w:val="center"/>
          </w:tcPr>
          <w:p>
            <w:pPr>
              <w:pStyle w:val="9"/>
              <w:spacing w:before="68"/>
              <w:ind w:left="117"/>
              <w:jc w:val="center"/>
              <w:rPr>
                <w:rFonts w:hint="eastAsia"/>
                <w:sz w:val="18"/>
                <w:lang w:val="en-US" w:eastAsia="zh-CN"/>
              </w:rPr>
            </w:pPr>
          </w:p>
          <w:p>
            <w:pPr>
              <w:pStyle w:val="9"/>
              <w:spacing w:before="68"/>
              <w:ind w:left="117"/>
              <w:jc w:val="center"/>
              <w:rPr>
                <w:rFonts w:hint="default"/>
                <w:sz w:val="18"/>
                <w:lang w:val="en-US" w:eastAsia="zh-CN"/>
              </w:rPr>
            </w:pPr>
            <w:r>
              <w:rPr>
                <w:rFonts w:hint="eastAsia"/>
                <w:sz w:val="18"/>
                <w:lang w:val="en-US" w:eastAsia="zh-CN"/>
              </w:rPr>
              <w:t>99</w:t>
            </w:r>
          </w:p>
        </w:tc>
        <w:tc>
          <w:tcPr>
            <w:tcW w:w="681" w:type="dxa"/>
            <w:gridSpan w:val="2"/>
            <w:vAlign w:val="center"/>
          </w:tcPr>
          <w:p>
            <w:pPr>
              <w:pStyle w:val="9"/>
              <w:spacing w:before="68"/>
              <w:ind w:left="117"/>
              <w:jc w:val="center"/>
              <w:rPr>
                <w:rFonts w:hint="eastAsia"/>
                <w:sz w:val="18"/>
                <w:lang w:val="en-US" w:eastAsia="zh-CN"/>
              </w:rPr>
            </w:pPr>
          </w:p>
          <w:p>
            <w:pPr>
              <w:pStyle w:val="9"/>
              <w:spacing w:before="68"/>
              <w:ind w:left="117"/>
              <w:jc w:val="center"/>
              <w:rPr>
                <w:rFonts w:hint="eastAsia"/>
                <w:sz w:val="18"/>
                <w:lang w:val="en-US" w:eastAsia="zh-CN"/>
              </w:rPr>
            </w:pPr>
            <w:r>
              <w:rPr>
                <w:rFonts w:hint="eastAsia"/>
                <w:sz w:val="18"/>
                <w:lang w:val="en-US" w:eastAsia="zh-CN"/>
              </w:rPr>
              <w:t>15</w:t>
            </w:r>
          </w:p>
        </w:tc>
        <w:tc>
          <w:tcPr>
            <w:tcW w:w="887" w:type="dxa"/>
            <w:gridSpan w:val="2"/>
            <w:vAlign w:val="center"/>
          </w:tcPr>
          <w:p>
            <w:pPr>
              <w:pStyle w:val="9"/>
              <w:spacing w:before="68"/>
              <w:ind w:left="117"/>
              <w:jc w:val="center"/>
              <w:rPr>
                <w:rFonts w:hint="eastAsia"/>
                <w:sz w:val="18"/>
                <w:lang w:val="en-US" w:eastAsia="zh-CN"/>
              </w:rPr>
            </w:pPr>
          </w:p>
          <w:p>
            <w:pPr>
              <w:pStyle w:val="9"/>
              <w:spacing w:before="68"/>
              <w:ind w:left="117"/>
              <w:jc w:val="center"/>
              <w:rPr>
                <w:rFonts w:hint="eastAsia"/>
                <w:sz w:val="18"/>
                <w:lang w:val="en-US" w:eastAsia="zh-CN"/>
              </w:rPr>
            </w:pPr>
            <w:r>
              <w:rPr>
                <w:rFonts w:hint="eastAsia"/>
                <w:sz w:val="18"/>
                <w:lang w:val="en-US" w:eastAsia="zh-CN"/>
              </w:rPr>
              <w:t>15</w:t>
            </w:r>
          </w:p>
        </w:tc>
        <w:tc>
          <w:tcPr>
            <w:tcW w:w="1063" w:type="dxa"/>
            <w:gridSpan w:val="2"/>
            <w:vAlign w:val="center"/>
          </w:tcPr>
          <w:p>
            <w:pPr>
              <w:pStyle w:val="9"/>
              <w:ind w:right="206"/>
              <w:jc w:val="center"/>
              <w:rPr>
                <w:rFonts w:hint="eastAsia" w:ascii="宋体" w:hAnsi="宋体" w:eastAsia="宋体" w:cs="宋体"/>
                <w:kern w:val="2"/>
                <w:sz w:val="18"/>
                <w:szCs w:val="2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8"/>
              <w:ind w:left="117"/>
              <w:jc w:val="center"/>
              <w:rPr>
                <w:rFonts w:hint="eastAsia"/>
                <w:sz w:val="18"/>
                <w:lang w:val="zh-CN" w:eastAsia="zh-CN"/>
              </w:rPr>
            </w:pPr>
          </w:p>
          <w:p>
            <w:pPr>
              <w:pStyle w:val="9"/>
              <w:spacing w:before="68"/>
              <w:ind w:left="117"/>
              <w:jc w:val="center"/>
              <w:rPr>
                <w:rFonts w:hint="eastAsia"/>
                <w:sz w:val="18"/>
                <w:lang w:val="zh-CN" w:eastAsia="zh-CN"/>
              </w:rPr>
            </w:pPr>
            <w:r>
              <w:rPr>
                <w:rFonts w:hint="eastAsia"/>
                <w:sz w:val="18"/>
                <w:lang w:val="zh-CN" w:eastAsia="zh-CN"/>
              </w:rPr>
              <w:t>质量指标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检验准确率</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≥98百分比</w:t>
            </w:r>
          </w:p>
        </w:tc>
        <w:tc>
          <w:tcPr>
            <w:tcW w:w="764" w:type="dxa"/>
            <w:vAlign w:val="center"/>
          </w:tcPr>
          <w:p>
            <w:pPr>
              <w:pStyle w:val="9"/>
              <w:spacing w:before="68"/>
              <w:ind w:left="117"/>
              <w:jc w:val="center"/>
              <w:rPr>
                <w:rFonts w:hint="default"/>
                <w:sz w:val="18"/>
                <w:lang w:val="en-US" w:eastAsia="zh-CN"/>
              </w:rPr>
            </w:pPr>
            <w:r>
              <w:rPr>
                <w:rFonts w:hint="eastAsia"/>
                <w:sz w:val="18"/>
                <w:lang w:val="en-US" w:eastAsia="zh-CN"/>
              </w:rPr>
              <w:t>100</w:t>
            </w:r>
          </w:p>
        </w:tc>
        <w:tc>
          <w:tcPr>
            <w:tcW w:w="681" w:type="dxa"/>
            <w:gridSpan w:val="2"/>
            <w:vAlign w:val="center"/>
          </w:tcPr>
          <w:p>
            <w:pPr>
              <w:pStyle w:val="9"/>
              <w:spacing w:before="68"/>
              <w:ind w:left="117"/>
              <w:jc w:val="center"/>
              <w:rPr>
                <w:rFonts w:hint="default"/>
                <w:sz w:val="18"/>
                <w:lang w:val="en-US" w:eastAsia="zh-CN"/>
              </w:rPr>
            </w:pPr>
            <w:r>
              <w:rPr>
                <w:rFonts w:hint="eastAsia"/>
                <w:sz w:val="18"/>
                <w:lang w:val="en-US" w:eastAsia="zh-CN"/>
              </w:rPr>
              <w:t>15</w:t>
            </w:r>
          </w:p>
        </w:tc>
        <w:tc>
          <w:tcPr>
            <w:tcW w:w="887" w:type="dxa"/>
            <w:gridSpan w:val="2"/>
            <w:vAlign w:val="center"/>
          </w:tcPr>
          <w:p>
            <w:pPr>
              <w:pStyle w:val="9"/>
              <w:spacing w:before="68"/>
              <w:ind w:left="117"/>
              <w:jc w:val="center"/>
              <w:rPr>
                <w:rFonts w:hint="default"/>
                <w:sz w:val="18"/>
                <w:lang w:val="en-US" w:eastAsia="zh-CN"/>
              </w:rPr>
            </w:pPr>
            <w:r>
              <w:rPr>
                <w:rFonts w:hint="eastAsia"/>
                <w:sz w:val="18"/>
                <w:lang w:val="en-US" w:eastAsia="zh-CN"/>
              </w:rPr>
              <w:t>15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8"/>
              <w:ind w:left="117"/>
              <w:jc w:val="center"/>
              <w:rPr>
                <w:rFonts w:hint="eastAsia"/>
                <w:sz w:val="18"/>
                <w:lang w:val="zh-CN" w:eastAsia="zh-CN"/>
              </w:rPr>
            </w:pPr>
          </w:p>
          <w:p>
            <w:pPr>
              <w:pStyle w:val="9"/>
              <w:spacing w:before="68"/>
              <w:ind w:left="117"/>
              <w:jc w:val="center"/>
              <w:rPr>
                <w:rFonts w:hint="eastAsia"/>
                <w:sz w:val="18"/>
                <w:lang w:val="zh-CN" w:eastAsia="zh-CN"/>
              </w:rPr>
            </w:pPr>
            <w:r>
              <w:rPr>
                <w:rFonts w:hint="eastAsia"/>
                <w:sz w:val="18"/>
                <w:lang w:val="zh-CN" w:eastAsia="zh-CN"/>
              </w:rPr>
              <w:t>时效指标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检测及时率</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≥98百分比</w:t>
            </w:r>
          </w:p>
        </w:tc>
        <w:tc>
          <w:tcPr>
            <w:tcW w:w="764" w:type="dxa"/>
            <w:vAlign w:val="center"/>
          </w:tcPr>
          <w:p>
            <w:pPr>
              <w:pStyle w:val="9"/>
              <w:spacing w:before="68"/>
              <w:ind w:left="117"/>
              <w:jc w:val="center"/>
              <w:rPr>
                <w:rFonts w:hint="default"/>
                <w:sz w:val="18"/>
                <w:lang w:val="en-US" w:eastAsia="zh-CN"/>
              </w:rPr>
            </w:pPr>
            <w:r>
              <w:rPr>
                <w:rFonts w:hint="eastAsia"/>
                <w:sz w:val="18"/>
                <w:lang w:val="en-US" w:eastAsia="zh-CN"/>
              </w:rPr>
              <w:t>100</w:t>
            </w:r>
          </w:p>
        </w:tc>
        <w:tc>
          <w:tcPr>
            <w:tcW w:w="681" w:type="dxa"/>
            <w:gridSpan w:val="2"/>
            <w:vAlign w:val="center"/>
          </w:tcPr>
          <w:p>
            <w:pPr>
              <w:pStyle w:val="9"/>
              <w:spacing w:before="68"/>
              <w:ind w:left="117"/>
              <w:jc w:val="center"/>
              <w:rPr>
                <w:rFonts w:hint="default"/>
                <w:sz w:val="18"/>
                <w:lang w:val="en-US" w:eastAsia="zh-CN"/>
              </w:rPr>
            </w:pPr>
            <w:r>
              <w:rPr>
                <w:rFonts w:hint="eastAsia"/>
                <w:sz w:val="18"/>
                <w:lang w:val="en-US" w:eastAsia="zh-CN"/>
              </w:rPr>
              <w:t>10</w:t>
            </w:r>
          </w:p>
        </w:tc>
        <w:tc>
          <w:tcPr>
            <w:tcW w:w="887" w:type="dxa"/>
            <w:gridSpan w:val="2"/>
            <w:vAlign w:val="center"/>
          </w:tcPr>
          <w:p>
            <w:pPr>
              <w:pStyle w:val="9"/>
              <w:spacing w:before="68"/>
              <w:ind w:left="117"/>
              <w:jc w:val="center"/>
              <w:rPr>
                <w:rFonts w:hint="default"/>
                <w:sz w:val="18"/>
                <w:lang w:val="en-US" w:eastAsia="zh-CN"/>
              </w:rPr>
            </w:pPr>
            <w:r>
              <w:rPr>
                <w:rFonts w:hint="eastAsia"/>
                <w:sz w:val="18"/>
                <w:lang w:val="en-US" w:eastAsia="zh-CN"/>
              </w:rPr>
              <w:t>10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8"/>
              <w:ind w:left="117"/>
              <w:jc w:val="center"/>
              <w:rPr>
                <w:rFonts w:hint="eastAsia"/>
                <w:sz w:val="18"/>
                <w:lang w:val="zh-CN" w:eastAsia="zh-CN"/>
              </w:rPr>
            </w:pPr>
            <w:r>
              <w:rPr>
                <w:rFonts w:hint="eastAsia"/>
                <w:sz w:val="18"/>
                <w:lang w:val="zh-CN" w:eastAsia="zh-CN"/>
              </w:rPr>
              <w:t>成本指标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粮食检验经费</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w:t>
            </w:r>
            <w:r>
              <w:rPr>
                <w:rFonts w:hint="eastAsia"/>
                <w:sz w:val="18"/>
                <w:lang w:val="en-US" w:eastAsia="zh-CN"/>
              </w:rPr>
              <w:t>20</w:t>
            </w:r>
            <w:r>
              <w:rPr>
                <w:rFonts w:hint="eastAsia"/>
                <w:sz w:val="18"/>
                <w:lang w:val="zh-CN" w:eastAsia="zh-CN"/>
              </w:rPr>
              <w:t>万元</w:t>
            </w:r>
          </w:p>
        </w:tc>
        <w:tc>
          <w:tcPr>
            <w:tcW w:w="764" w:type="dxa"/>
            <w:vAlign w:val="center"/>
          </w:tcPr>
          <w:p>
            <w:pPr>
              <w:pStyle w:val="9"/>
              <w:spacing w:before="68"/>
              <w:ind w:left="117"/>
              <w:jc w:val="center"/>
              <w:rPr>
                <w:rFonts w:hint="default"/>
                <w:sz w:val="18"/>
                <w:lang w:val="en-US" w:eastAsia="zh-CN"/>
              </w:rPr>
            </w:pPr>
            <w:r>
              <w:rPr>
                <w:rFonts w:hint="eastAsia"/>
                <w:sz w:val="18"/>
                <w:lang w:val="en-US" w:eastAsia="zh-CN"/>
              </w:rPr>
              <w:t>20</w:t>
            </w:r>
          </w:p>
        </w:tc>
        <w:tc>
          <w:tcPr>
            <w:tcW w:w="681" w:type="dxa"/>
            <w:gridSpan w:val="2"/>
            <w:vAlign w:val="center"/>
          </w:tcPr>
          <w:p>
            <w:pPr>
              <w:pStyle w:val="9"/>
              <w:spacing w:before="68"/>
              <w:ind w:left="117"/>
              <w:jc w:val="center"/>
              <w:rPr>
                <w:rFonts w:hint="default"/>
                <w:sz w:val="18"/>
                <w:lang w:val="en-US" w:eastAsia="zh-CN"/>
              </w:rPr>
            </w:pPr>
            <w:r>
              <w:rPr>
                <w:rFonts w:hint="eastAsia"/>
                <w:sz w:val="18"/>
                <w:lang w:val="en-US" w:eastAsia="zh-CN"/>
              </w:rPr>
              <w:t>10</w:t>
            </w:r>
          </w:p>
        </w:tc>
        <w:tc>
          <w:tcPr>
            <w:tcW w:w="887" w:type="dxa"/>
            <w:gridSpan w:val="2"/>
            <w:vAlign w:val="center"/>
          </w:tcPr>
          <w:p>
            <w:pPr>
              <w:pStyle w:val="9"/>
              <w:spacing w:before="68"/>
              <w:ind w:left="117"/>
              <w:jc w:val="center"/>
              <w:rPr>
                <w:rFonts w:hint="default"/>
                <w:sz w:val="18"/>
                <w:lang w:val="en-US" w:eastAsia="zh-CN"/>
              </w:rPr>
            </w:pPr>
            <w:r>
              <w:rPr>
                <w:rFonts w:hint="eastAsia"/>
                <w:sz w:val="18"/>
                <w:lang w:val="en-US" w:eastAsia="zh-CN"/>
              </w:rPr>
              <w:t>10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89" w:type="dxa"/>
            <w:vMerge w:val="continue"/>
            <w:tcBorders>
              <w:top w:val="nil"/>
            </w:tcBorders>
          </w:tcPr>
          <w:p>
            <w:pPr>
              <w:rPr>
                <w:sz w:val="2"/>
                <w:szCs w:val="2"/>
              </w:rPr>
            </w:pPr>
          </w:p>
        </w:tc>
        <w:tc>
          <w:tcPr>
            <w:tcW w:w="982" w:type="dxa"/>
            <w:vMerge w:val="restart"/>
          </w:tcPr>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效益指标30 分</w:t>
            </w:r>
          </w:p>
        </w:tc>
        <w:tc>
          <w:tcPr>
            <w:tcW w:w="1215" w:type="dxa"/>
            <w:vAlign w:val="center"/>
          </w:tcPr>
          <w:p>
            <w:pPr>
              <w:pStyle w:val="9"/>
              <w:spacing w:before="68"/>
              <w:ind w:left="117"/>
              <w:jc w:val="center"/>
              <w:rPr>
                <w:rFonts w:hint="eastAsia"/>
                <w:sz w:val="18"/>
                <w:lang w:val="zh-CN" w:eastAsia="zh-CN"/>
              </w:rPr>
            </w:pPr>
            <w:r>
              <w:rPr>
                <w:rFonts w:hint="eastAsia"/>
                <w:sz w:val="18"/>
                <w:lang w:val="zh-CN" w:eastAsia="zh-CN"/>
              </w:rPr>
              <w:t>经济效益指标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不涉及</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不涉及</w:t>
            </w:r>
          </w:p>
        </w:tc>
        <w:tc>
          <w:tcPr>
            <w:tcW w:w="764" w:type="dxa"/>
            <w:vAlign w:val="center"/>
          </w:tcPr>
          <w:p>
            <w:pPr>
              <w:pStyle w:val="9"/>
              <w:spacing w:before="68"/>
              <w:ind w:left="117"/>
              <w:jc w:val="center"/>
              <w:rPr>
                <w:rFonts w:hint="eastAsia"/>
                <w:sz w:val="18"/>
                <w:lang w:val="en-US" w:eastAsia="zh-CN"/>
              </w:rPr>
            </w:pPr>
            <w:r>
              <w:rPr>
                <w:rFonts w:hint="eastAsia"/>
                <w:sz w:val="18"/>
                <w:lang w:val="en-US" w:eastAsia="zh-CN"/>
              </w:rPr>
              <w:t>0</w:t>
            </w:r>
          </w:p>
        </w:tc>
        <w:tc>
          <w:tcPr>
            <w:tcW w:w="681" w:type="dxa"/>
            <w:gridSpan w:val="2"/>
            <w:vAlign w:val="center"/>
          </w:tcPr>
          <w:p>
            <w:pPr>
              <w:pStyle w:val="9"/>
              <w:spacing w:before="68"/>
              <w:ind w:left="117"/>
              <w:jc w:val="center"/>
              <w:rPr>
                <w:rFonts w:hint="eastAsia"/>
                <w:sz w:val="18"/>
                <w:lang w:val="en-US" w:eastAsia="zh-CN"/>
              </w:rPr>
            </w:pPr>
            <w:r>
              <w:rPr>
                <w:rFonts w:hint="eastAsia"/>
                <w:sz w:val="18"/>
                <w:lang w:val="en-US" w:eastAsia="zh-CN"/>
              </w:rPr>
              <w:t>0</w:t>
            </w:r>
          </w:p>
        </w:tc>
        <w:tc>
          <w:tcPr>
            <w:tcW w:w="887" w:type="dxa"/>
            <w:gridSpan w:val="2"/>
            <w:vAlign w:val="center"/>
          </w:tcPr>
          <w:p>
            <w:pPr>
              <w:pStyle w:val="9"/>
              <w:spacing w:before="68"/>
              <w:ind w:left="117"/>
              <w:jc w:val="center"/>
              <w:rPr>
                <w:rFonts w:hint="eastAsia"/>
                <w:sz w:val="18"/>
                <w:lang w:val="en-US" w:eastAsia="zh-CN"/>
              </w:rPr>
            </w:pPr>
            <w:r>
              <w:rPr>
                <w:rFonts w:hint="eastAsia"/>
                <w:sz w:val="18"/>
                <w:lang w:val="en-US" w:eastAsia="zh-CN"/>
              </w:rPr>
              <w:t>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8"/>
              <w:ind w:left="117"/>
              <w:jc w:val="center"/>
              <w:rPr>
                <w:rFonts w:hint="eastAsia"/>
                <w:sz w:val="18"/>
                <w:lang w:val="zh-CN" w:eastAsia="zh-CN"/>
              </w:rPr>
            </w:pPr>
            <w:r>
              <w:rPr>
                <w:rFonts w:hint="eastAsia"/>
                <w:sz w:val="18"/>
                <w:lang w:val="zh-CN" w:eastAsia="zh-CN"/>
              </w:rPr>
              <w:t>社会效益指标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确保辖区内粮食的质量安全</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通过质量检验推进质量管理，引导企业健全粮储安全机制</w:t>
            </w:r>
          </w:p>
        </w:tc>
        <w:tc>
          <w:tcPr>
            <w:tcW w:w="764" w:type="dxa"/>
            <w:vAlign w:val="center"/>
          </w:tcPr>
          <w:p>
            <w:pPr>
              <w:pStyle w:val="9"/>
              <w:spacing w:before="68"/>
              <w:ind w:left="117"/>
              <w:jc w:val="center"/>
              <w:rPr>
                <w:rFonts w:hint="eastAsia"/>
                <w:sz w:val="18"/>
                <w:lang w:val="en-US" w:eastAsia="zh-CN"/>
              </w:rPr>
            </w:pPr>
            <w:r>
              <w:rPr>
                <w:rFonts w:hint="eastAsia"/>
                <w:sz w:val="18"/>
                <w:lang w:val="en-US" w:eastAsia="zh-CN"/>
              </w:rPr>
              <w:t>10家</w:t>
            </w:r>
          </w:p>
        </w:tc>
        <w:tc>
          <w:tcPr>
            <w:tcW w:w="681" w:type="dxa"/>
            <w:gridSpan w:val="2"/>
            <w:vAlign w:val="center"/>
          </w:tcPr>
          <w:p>
            <w:pPr>
              <w:pStyle w:val="9"/>
              <w:spacing w:before="68"/>
              <w:ind w:left="117"/>
              <w:jc w:val="center"/>
              <w:rPr>
                <w:rFonts w:hint="default"/>
                <w:sz w:val="18"/>
                <w:lang w:val="en-US" w:eastAsia="zh-CN"/>
              </w:rPr>
            </w:pPr>
            <w:r>
              <w:rPr>
                <w:rFonts w:hint="eastAsia"/>
                <w:sz w:val="18"/>
                <w:lang w:val="en-US" w:eastAsia="zh-CN"/>
              </w:rPr>
              <w:t>15</w:t>
            </w:r>
          </w:p>
        </w:tc>
        <w:tc>
          <w:tcPr>
            <w:tcW w:w="887" w:type="dxa"/>
            <w:gridSpan w:val="2"/>
            <w:vAlign w:val="center"/>
          </w:tcPr>
          <w:p>
            <w:pPr>
              <w:pStyle w:val="9"/>
              <w:spacing w:before="68"/>
              <w:ind w:left="117"/>
              <w:jc w:val="center"/>
              <w:rPr>
                <w:rFonts w:hint="default"/>
                <w:sz w:val="18"/>
                <w:lang w:val="en-US" w:eastAsia="zh-CN"/>
              </w:rPr>
            </w:pPr>
            <w:r>
              <w:rPr>
                <w:rFonts w:hint="eastAsia"/>
                <w:sz w:val="18"/>
                <w:lang w:val="en-US" w:eastAsia="zh-CN"/>
              </w:rPr>
              <w:t>15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8"/>
              <w:ind w:left="117"/>
              <w:jc w:val="center"/>
              <w:rPr>
                <w:rFonts w:hint="eastAsia"/>
                <w:sz w:val="18"/>
                <w:lang w:val="zh-CN" w:eastAsia="zh-CN"/>
              </w:rPr>
            </w:pPr>
            <w:r>
              <w:rPr>
                <w:rFonts w:hint="eastAsia"/>
                <w:sz w:val="18"/>
                <w:lang w:val="zh-CN" w:eastAsia="zh-CN"/>
              </w:rPr>
              <w:t>生态效益指标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满足生态环保要求</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废弃物进行有效处理</w:t>
            </w:r>
          </w:p>
        </w:tc>
        <w:tc>
          <w:tcPr>
            <w:tcW w:w="764" w:type="dxa"/>
            <w:vAlign w:val="center"/>
          </w:tcPr>
          <w:p>
            <w:pPr>
              <w:pStyle w:val="9"/>
              <w:spacing w:before="68"/>
              <w:ind w:left="117"/>
              <w:jc w:val="center"/>
              <w:rPr>
                <w:rFonts w:hint="default"/>
                <w:sz w:val="18"/>
                <w:lang w:val="en-US" w:eastAsia="zh-CN"/>
              </w:rPr>
            </w:pPr>
            <w:r>
              <w:rPr>
                <w:rFonts w:hint="eastAsia"/>
                <w:sz w:val="18"/>
                <w:lang w:val="en-US" w:eastAsia="zh-CN"/>
              </w:rPr>
              <w:t>100</w:t>
            </w:r>
          </w:p>
        </w:tc>
        <w:tc>
          <w:tcPr>
            <w:tcW w:w="681" w:type="dxa"/>
            <w:gridSpan w:val="2"/>
            <w:vAlign w:val="center"/>
          </w:tcPr>
          <w:p>
            <w:pPr>
              <w:pStyle w:val="9"/>
              <w:spacing w:before="68"/>
              <w:ind w:left="117"/>
              <w:jc w:val="center"/>
              <w:rPr>
                <w:rFonts w:hint="default"/>
                <w:sz w:val="18"/>
                <w:lang w:val="en-US" w:eastAsia="zh-CN"/>
              </w:rPr>
            </w:pPr>
            <w:r>
              <w:rPr>
                <w:rFonts w:hint="eastAsia"/>
                <w:sz w:val="18"/>
                <w:lang w:val="en-US" w:eastAsia="zh-CN"/>
              </w:rPr>
              <w:t>15</w:t>
            </w:r>
          </w:p>
        </w:tc>
        <w:tc>
          <w:tcPr>
            <w:tcW w:w="887" w:type="dxa"/>
            <w:gridSpan w:val="2"/>
            <w:vAlign w:val="center"/>
          </w:tcPr>
          <w:p>
            <w:pPr>
              <w:pStyle w:val="9"/>
              <w:spacing w:before="68"/>
              <w:ind w:left="117"/>
              <w:jc w:val="center"/>
              <w:rPr>
                <w:rFonts w:hint="default"/>
                <w:sz w:val="18"/>
                <w:lang w:val="en-US" w:eastAsia="zh-CN"/>
              </w:rPr>
            </w:pPr>
            <w:r>
              <w:rPr>
                <w:rFonts w:hint="eastAsia"/>
                <w:sz w:val="18"/>
                <w:lang w:val="en-US" w:eastAsia="zh-CN"/>
              </w:rPr>
              <w:t>15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8"/>
              <w:ind w:left="117"/>
              <w:jc w:val="center"/>
              <w:rPr>
                <w:rFonts w:hint="eastAsia"/>
                <w:sz w:val="18"/>
                <w:lang w:val="zh-CN" w:eastAsia="zh-CN"/>
              </w:rPr>
            </w:pPr>
            <w:r>
              <w:rPr>
                <w:rFonts w:hint="eastAsia"/>
                <w:sz w:val="18"/>
                <w:lang w:val="zh-CN" w:eastAsia="zh-CN"/>
              </w:rPr>
              <w:t>可持续影响指标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不涉及</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不涉及</w:t>
            </w:r>
          </w:p>
        </w:tc>
        <w:tc>
          <w:tcPr>
            <w:tcW w:w="764" w:type="dxa"/>
            <w:vAlign w:val="center"/>
          </w:tcPr>
          <w:p>
            <w:pPr>
              <w:pStyle w:val="9"/>
              <w:spacing w:before="68"/>
              <w:ind w:left="117"/>
              <w:jc w:val="center"/>
              <w:rPr>
                <w:rFonts w:hint="eastAsia"/>
                <w:sz w:val="18"/>
                <w:lang w:val="en-US" w:eastAsia="zh-CN"/>
              </w:rPr>
            </w:pPr>
            <w:r>
              <w:rPr>
                <w:rFonts w:hint="eastAsia"/>
                <w:sz w:val="18"/>
                <w:lang w:val="en-US" w:eastAsia="zh-CN"/>
              </w:rPr>
              <w:t>0</w:t>
            </w:r>
          </w:p>
        </w:tc>
        <w:tc>
          <w:tcPr>
            <w:tcW w:w="681" w:type="dxa"/>
            <w:gridSpan w:val="2"/>
            <w:vAlign w:val="center"/>
          </w:tcPr>
          <w:p>
            <w:pPr>
              <w:pStyle w:val="9"/>
              <w:spacing w:before="68"/>
              <w:ind w:left="117"/>
              <w:jc w:val="center"/>
              <w:rPr>
                <w:rFonts w:hint="eastAsia"/>
                <w:sz w:val="18"/>
                <w:lang w:val="en-US" w:eastAsia="zh-CN"/>
              </w:rPr>
            </w:pPr>
            <w:r>
              <w:rPr>
                <w:rFonts w:hint="eastAsia"/>
                <w:sz w:val="18"/>
                <w:lang w:val="en-US" w:eastAsia="zh-CN"/>
              </w:rPr>
              <w:t>0</w:t>
            </w:r>
          </w:p>
        </w:tc>
        <w:tc>
          <w:tcPr>
            <w:tcW w:w="887" w:type="dxa"/>
            <w:gridSpan w:val="2"/>
            <w:vAlign w:val="center"/>
          </w:tcPr>
          <w:p>
            <w:pPr>
              <w:pStyle w:val="9"/>
              <w:spacing w:before="68"/>
              <w:ind w:left="117"/>
              <w:jc w:val="center"/>
              <w:rPr>
                <w:rFonts w:hint="eastAsia"/>
                <w:sz w:val="18"/>
                <w:lang w:val="en-US" w:eastAsia="zh-CN"/>
              </w:rPr>
            </w:pPr>
            <w:r>
              <w:rPr>
                <w:rFonts w:hint="eastAsia"/>
                <w:sz w:val="18"/>
                <w:lang w:val="en-US" w:eastAsia="zh-CN"/>
              </w:rPr>
              <w:t>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89" w:type="dxa"/>
            <w:vMerge w:val="continue"/>
            <w:tcBorders>
              <w:top w:val="nil"/>
            </w:tcBorders>
          </w:tcPr>
          <w:p>
            <w:pPr>
              <w:rPr>
                <w:sz w:val="2"/>
                <w:szCs w:val="2"/>
              </w:rPr>
            </w:pPr>
          </w:p>
        </w:tc>
        <w:tc>
          <w:tcPr>
            <w:tcW w:w="982" w:type="dxa"/>
            <w:vMerge w:val="restart"/>
          </w:tcPr>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满意度指标10 分</w:t>
            </w:r>
          </w:p>
        </w:tc>
        <w:tc>
          <w:tcPr>
            <w:tcW w:w="1215" w:type="dxa"/>
            <w:vMerge w:val="restart"/>
            <w:vAlign w:val="center"/>
          </w:tcPr>
          <w:p>
            <w:pPr>
              <w:pStyle w:val="9"/>
              <w:spacing w:before="68"/>
              <w:ind w:left="117"/>
              <w:jc w:val="center"/>
              <w:rPr>
                <w:rFonts w:hint="eastAsia"/>
                <w:sz w:val="18"/>
                <w:lang w:val="zh-CN" w:eastAsia="zh-CN"/>
              </w:rPr>
            </w:pPr>
          </w:p>
          <w:p>
            <w:pPr>
              <w:pStyle w:val="9"/>
              <w:spacing w:before="68"/>
              <w:ind w:left="117"/>
              <w:jc w:val="center"/>
              <w:rPr>
                <w:rFonts w:hint="eastAsia"/>
                <w:sz w:val="18"/>
                <w:lang w:val="zh-CN" w:eastAsia="zh-CN"/>
              </w:rPr>
            </w:pPr>
            <w:r>
              <w:rPr>
                <w:rFonts w:hint="eastAsia"/>
                <w:sz w:val="18"/>
                <w:lang w:val="zh-CN" w:eastAsia="zh-CN"/>
              </w:rPr>
              <w:t>服务对象满意度指标</w:t>
            </w:r>
          </w:p>
        </w:tc>
        <w:tc>
          <w:tcPr>
            <w:tcW w:w="1322" w:type="dxa"/>
            <w:gridSpan w:val="2"/>
            <w:vAlign w:val="center"/>
          </w:tcPr>
          <w:p>
            <w:pPr>
              <w:pStyle w:val="9"/>
              <w:spacing w:before="68"/>
              <w:ind w:left="117"/>
              <w:jc w:val="center"/>
              <w:rPr>
                <w:rFonts w:hint="eastAsia"/>
                <w:sz w:val="18"/>
                <w:lang w:val="zh-CN" w:eastAsia="zh-CN"/>
              </w:rPr>
            </w:pPr>
            <w:r>
              <w:rPr>
                <w:rFonts w:hint="eastAsia"/>
                <w:sz w:val="18"/>
                <w:lang w:val="zh-CN" w:eastAsia="zh-CN"/>
              </w:rPr>
              <w:t>检测结果投诉率</w:t>
            </w:r>
          </w:p>
        </w:tc>
        <w:tc>
          <w:tcPr>
            <w:tcW w:w="1732" w:type="dxa"/>
            <w:gridSpan w:val="2"/>
            <w:vAlign w:val="center"/>
          </w:tcPr>
          <w:p>
            <w:pPr>
              <w:pStyle w:val="9"/>
              <w:spacing w:before="68"/>
              <w:ind w:left="117"/>
              <w:jc w:val="center"/>
              <w:rPr>
                <w:rFonts w:hint="eastAsia"/>
                <w:sz w:val="18"/>
                <w:lang w:val="zh-CN" w:eastAsia="zh-CN"/>
              </w:rPr>
            </w:pPr>
            <w:r>
              <w:rPr>
                <w:rFonts w:hint="eastAsia"/>
                <w:sz w:val="18"/>
                <w:lang w:val="zh-CN" w:eastAsia="zh-CN"/>
              </w:rPr>
              <w:t>≤2</w:t>
            </w:r>
            <w:r>
              <w:rPr>
                <w:rFonts w:hint="eastAsia"/>
                <w:sz w:val="18"/>
                <w:lang w:val="en-US" w:eastAsia="zh-CN"/>
              </w:rPr>
              <w:t>%</w:t>
            </w:r>
          </w:p>
        </w:tc>
        <w:tc>
          <w:tcPr>
            <w:tcW w:w="764" w:type="dxa"/>
            <w:vAlign w:val="center"/>
          </w:tcPr>
          <w:p>
            <w:pPr>
              <w:pStyle w:val="9"/>
              <w:spacing w:before="68"/>
              <w:ind w:left="117"/>
              <w:jc w:val="center"/>
              <w:rPr>
                <w:rFonts w:hint="eastAsia"/>
                <w:sz w:val="18"/>
                <w:lang w:val="zh-CN" w:eastAsia="zh-CN"/>
              </w:rPr>
            </w:pPr>
            <w:r>
              <w:rPr>
                <w:rFonts w:hint="eastAsia"/>
                <w:sz w:val="18"/>
                <w:lang w:val="en-US" w:eastAsia="zh-CN"/>
              </w:rPr>
              <w:t>0</w:t>
            </w:r>
          </w:p>
        </w:tc>
        <w:tc>
          <w:tcPr>
            <w:tcW w:w="681" w:type="dxa"/>
            <w:gridSpan w:val="2"/>
            <w:vAlign w:val="center"/>
          </w:tcPr>
          <w:p>
            <w:pPr>
              <w:pStyle w:val="9"/>
              <w:spacing w:before="68"/>
              <w:ind w:left="117"/>
              <w:jc w:val="center"/>
              <w:rPr>
                <w:sz w:val="18"/>
                <w:lang w:val="zh-CN" w:eastAsia="zh-CN"/>
              </w:rPr>
            </w:pPr>
            <w:r>
              <w:rPr>
                <w:rFonts w:hint="eastAsia"/>
                <w:sz w:val="18"/>
                <w:lang w:val="en-US" w:eastAsia="zh-CN"/>
              </w:rPr>
              <w:t>5</w:t>
            </w:r>
          </w:p>
        </w:tc>
        <w:tc>
          <w:tcPr>
            <w:tcW w:w="887" w:type="dxa"/>
            <w:gridSpan w:val="2"/>
            <w:vAlign w:val="center"/>
          </w:tcPr>
          <w:p>
            <w:pPr>
              <w:pStyle w:val="9"/>
              <w:spacing w:before="68"/>
              <w:ind w:left="117"/>
              <w:jc w:val="center"/>
              <w:rPr>
                <w:sz w:val="18"/>
                <w:lang w:val="zh-CN" w:eastAsia="zh-CN"/>
              </w:rPr>
            </w:pPr>
            <w:r>
              <w:rPr>
                <w:rFonts w:hint="eastAsia"/>
                <w:sz w:val="18"/>
                <w:lang w:val="en-US" w:eastAsia="zh-CN"/>
              </w:rPr>
              <w:t>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Merge w:val="continue"/>
            <w:tcBorders>
              <w:top w:val="nil"/>
            </w:tcBorders>
            <w:vAlign w:val="center"/>
          </w:tcPr>
          <w:p>
            <w:pPr>
              <w:pStyle w:val="9"/>
              <w:spacing w:before="68"/>
              <w:ind w:left="117"/>
              <w:jc w:val="center"/>
              <w:rPr>
                <w:rFonts w:hint="eastAsia"/>
                <w:sz w:val="18"/>
                <w:lang w:val="zh-CN" w:eastAsia="zh-CN"/>
              </w:rPr>
            </w:pPr>
          </w:p>
        </w:tc>
        <w:tc>
          <w:tcPr>
            <w:tcW w:w="1322" w:type="dxa"/>
            <w:gridSpan w:val="2"/>
          </w:tcPr>
          <w:p>
            <w:pPr>
              <w:pStyle w:val="9"/>
              <w:spacing w:before="68"/>
              <w:ind w:left="117"/>
              <w:jc w:val="center"/>
              <w:rPr>
                <w:rFonts w:hint="eastAsia"/>
                <w:sz w:val="18"/>
                <w:lang w:val="zh-CN" w:eastAsia="zh-CN"/>
              </w:rPr>
            </w:pPr>
            <w:r>
              <w:rPr>
                <w:rFonts w:hint="eastAsia"/>
                <w:sz w:val="18"/>
                <w:lang w:val="zh-CN" w:eastAsia="zh-CN"/>
              </w:rPr>
              <w:t>服务对象满意度</w:t>
            </w:r>
          </w:p>
        </w:tc>
        <w:tc>
          <w:tcPr>
            <w:tcW w:w="1732" w:type="dxa"/>
            <w:gridSpan w:val="2"/>
          </w:tcPr>
          <w:p>
            <w:pPr>
              <w:pStyle w:val="9"/>
              <w:spacing w:before="68"/>
              <w:ind w:left="117"/>
              <w:jc w:val="center"/>
              <w:rPr>
                <w:rFonts w:hint="eastAsia"/>
                <w:sz w:val="18"/>
                <w:lang w:val="zh-CN" w:eastAsia="zh-CN"/>
              </w:rPr>
            </w:pPr>
            <w:r>
              <w:rPr>
                <w:rFonts w:hint="eastAsia"/>
                <w:sz w:val="18"/>
                <w:lang w:val="zh-CN" w:eastAsia="zh-CN"/>
              </w:rPr>
              <w:t>≥</w:t>
            </w:r>
            <w:r>
              <w:rPr>
                <w:rFonts w:hint="eastAsia"/>
                <w:sz w:val="18"/>
                <w:lang w:val="en-US" w:eastAsia="zh-CN"/>
              </w:rPr>
              <w:t>99%</w:t>
            </w:r>
          </w:p>
        </w:tc>
        <w:tc>
          <w:tcPr>
            <w:tcW w:w="764" w:type="dxa"/>
          </w:tcPr>
          <w:p>
            <w:pPr>
              <w:pStyle w:val="9"/>
              <w:spacing w:before="68"/>
              <w:ind w:left="117"/>
              <w:jc w:val="center"/>
              <w:rPr>
                <w:rFonts w:hint="eastAsia"/>
                <w:sz w:val="18"/>
                <w:lang w:val="en-US" w:eastAsia="zh-CN"/>
              </w:rPr>
            </w:pPr>
            <w:r>
              <w:rPr>
                <w:rFonts w:hint="eastAsia"/>
                <w:sz w:val="18"/>
                <w:lang w:val="en-US" w:eastAsia="zh-CN"/>
              </w:rPr>
              <w:t>100</w:t>
            </w:r>
          </w:p>
        </w:tc>
        <w:tc>
          <w:tcPr>
            <w:tcW w:w="681" w:type="dxa"/>
            <w:gridSpan w:val="2"/>
          </w:tcPr>
          <w:p>
            <w:pPr>
              <w:pStyle w:val="9"/>
              <w:spacing w:before="68"/>
              <w:ind w:left="117"/>
              <w:jc w:val="center"/>
              <w:rPr>
                <w:rFonts w:hint="eastAsia"/>
                <w:sz w:val="18"/>
                <w:lang w:val="en-US" w:eastAsia="zh-CN"/>
              </w:rPr>
            </w:pPr>
            <w:r>
              <w:rPr>
                <w:rFonts w:hint="eastAsia"/>
                <w:sz w:val="18"/>
                <w:lang w:val="en-US" w:eastAsia="zh-CN"/>
              </w:rPr>
              <w:t>5</w:t>
            </w:r>
          </w:p>
        </w:tc>
        <w:tc>
          <w:tcPr>
            <w:tcW w:w="887" w:type="dxa"/>
            <w:gridSpan w:val="2"/>
          </w:tcPr>
          <w:p>
            <w:pPr>
              <w:pStyle w:val="9"/>
              <w:spacing w:before="68"/>
              <w:ind w:left="117"/>
              <w:jc w:val="center"/>
              <w:rPr>
                <w:rFonts w:hint="eastAsia"/>
                <w:sz w:val="18"/>
                <w:lang w:val="en-US" w:eastAsia="zh-CN"/>
              </w:rPr>
            </w:pPr>
            <w:r>
              <w:rPr>
                <w:rFonts w:hint="eastAsia"/>
                <w:sz w:val="18"/>
                <w:lang w:val="en-US" w:eastAsia="zh-CN"/>
              </w:rPr>
              <w:t>5</w:t>
            </w:r>
          </w:p>
        </w:tc>
        <w:tc>
          <w:tcPr>
            <w:tcW w:w="1063"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6604" w:type="dxa"/>
            <w:gridSpan w:val="8"/>
          </w:tcPr>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总分</w:t>
            </w:r>
          </w:p>
        </w:tc>
        <w:tc>
          <w:tcPr>
            <w:tcW w:w="681" w:type="dxa"/>
            <w:gridSpan w:val="2"/>
          </w:tcPr>
          <w:p>
            <w:pPr>
              <w:pStyle w:val="9"/>
              <w:spacing w:before="97"/>
              <w:ind w:left="71" w:right="5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887" w:type="dxa"/>
            <w:gridSpan w:val="2"/>
          </w:tcPr>
          <w:p>
            <w:pPr>
              <w:pStyle w:val="9"/>
              <w:spacing w:before="97"/>
              <w:ind w:left="71" w:right="5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1063" w:type="dxa"/>
            <w:gridSpan w:val="2"/>
          </w:tcPr>
          <w:p>
            <w:pPr>
              <w:pStyle w:val="9"/>
              <w:spacing w:before="97"/>
              <w:ind w:left="71" w:right="56"/>
              <w:jc w:val="center"/>
              <w:rPr>
                <w:rFonts w:hint="eastAsia" w:ascii="宋体" w:hAnsi="宋体" w:eastAsia="宋体" w:cs="宋体"/>
                <w:kern w:val="2"/>
                <w:sz w:val="18"/>
                <w:szCs w:val="22"/>
                <w:lang w:val="zh-CN" w:eastAsia="zh-CN" w:bidi="zh-CN"/>
              </w:rPr>
            </w:pPr>
          </w:p>
        </w:tc>
      </w:tr>
    </w:tbl>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jc w:val="both"/>
        <w:rPr>
          <w:rFonts w:hint="default"/>
          <w:lang w:val="en-US" w:eastAsia="zh-CN"/>
        </w:rPr>
      </w:pPr>
      <w:r>
        <w:rPr>
          <w:rFonts w:hint="eastAsia" w:ascii="仿宋_GB2312" w:hAnsi="仿宋_GB2312" w:eastAsia="仿宋_GB2312" w:cs="仿宋_GB2312"/>
          <w:b w:val="0"/>
          <w:kern w:val="2"/>
          <w:sz w:val="32"/>
          <w:szCs w:val="32"/>
          <w:highlight w:val="none"/>
          <w:lang w:val="en-US" w:eastAsia="zh-CN" w:bidi="ar-SA"/>
        </w:rPr>
        <w:t>2、调剂补充粮油质量监测经费</w:t>
      </w:r>
    </w:p>
    <w:tbl>
      <w:tblPr>
        <w:tblStyle w:val="6"/>
        <w:tblpPr w:leftFromText="180" w:rightFromText="180" w:vertAnchor="text" w:horzAnchor="page" w:tblpX="1375" w:tblpY="1113"/>
        <w:tblOverlap w:val="never"/>
        <w:tblW w:w="92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982"/>
        <w:gridCol w:w="1215"/>
        <w:gridCol w:w="631"/>
        <w:gridCol w:w="691"/>
        <w:gridCol w:w="445"/>
        <w:gridCol w:w="1287"/>
        <w:gridCol w:w="764"/>
        <w:gridCol w:w="222"/>
        <w:gridCol w:w="459"/>
        <w:gridCol w:w="251"/>
        <w:gridCol w:w="636"/>
        <w:gridCol w:w="216"/>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tcPr>
          <w:p>
            <w:pPr>
              <w:pStyle w:val="9"/>
              <w:spacing w:before="68"/>
              <w:ind w:left="428"/>
              <w:rPr>
                <w:sz w:val="18"/>
              </w:rPr>
            </w:pPr>
            <w:r>
              <w:rPr>
                <w:sz w:val="18"/>
              </w:rPr>
              <w:t>项目名称</w:t>
            </w:r>
          </w:p>
        </w:tc>
        <w:tc>
          <w:tcPr>
            <w:tcW w:w="7664" w:type="dxa"/>
            <w:gridSpan w:val="12"/>
          </w:tcPr>
          <w:p>
            <w:pPr>
              <w:pStyle w:val="9"/>
              <w:spacing w:before="35"/>
              <w:ind w:left="2520" w:leftChars="0" w:right="1639" w:rightChars="0" w:firstLine="0" w:firstLineChars="0"/>
              <w:jc w:val="center"/>
              <w:rPr>
                <w:rFonts w:hint="default" w:ascii="仿宋" w:eastAsia="仿宋"/>
                <w:sz w:val="21"/>
                <w:lang w:val="en-US" w:eastAsia="zh-CN"/>
              </w:rPr>
            </w:pPr>
            <w:r>
              <w:rPr>
                <w:rFonts w:hint="eastAsia" w:ascii="仿宋" w:eastAsia="仿宋"/>
                <w:sz w:val="21"/>
                <w:lang w:val="en-US" w:eastAsia="zh-CN"/>
              </w:rPr>
              <w:t>调剂补充粮油质量监测经费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tcPr>
          <w:p>
            <w:pPr>
              <w:pStyle w:val="9"/>
              <w:spacing w:before="68"/>
              <w:ind w:left="428"/>
              <w:rPr>
                <w:sz w:val="18"/>
              </w:rPr>
            </w:pPr>
            <w:r>
              <w:rPr>
                <w:sz w:val="18"/>
              </w:rPr>
              <w:t>主管部门</w:t>
            </w:r>
          </w:p>
        </w:tc>
        <w:tc>
          <w:tcPr>
            <w:tcW w:w="4269" w:type="dxa"/>
            <w:gridSpan w:val="5"/>
          </w:tcPr>
          <w:p>
            <w:pPr>
              <w:pStyle w:val="9"/>
              <w:rPr>
                <w:rFonts w:hint="eastAsia" w:ascii="Times New Roman" w:eastAsia="宋体"/>
                <w:sz w:val="18"/>
                <w:lang w:eastAsia="zh-CN"/>
              </w:rPr>
            </w:pPr>
            <w:r>
              <w:rPr>
                <w:rFonts w:hint="eastAsia" w:ascii="Times New Roman"/>
                <w:sz w:val="18"/>
                <w:lang w:eastAsia="zh-CN"/>
              </w:rPr>
              <w:t>承德市发展和改革委员会</w:t>
            </w:r>
          </w:p>
        </w:tc>
        <w:tc>
          <w:tcPr>
            <w:tcW w:w="986" w:type="dxa"/>
            <w:gridSpan w:val="2"/>
          </w:tcPr>
          <w:p>
            <w:pPr>
              <w:pStyle w:val="9"/>
              <w:spacing w:before="68"/>
              <w:ind w:left="213"/>
              <w:rPr>
                <w:sz w:val="18"/>
              </w:rPr>
            </w:pPr>
            <w:r>
              <w:rPr>
                <w:sz w:val="18"/>
              </w:rPr>
              <w:t>实施单位</w:t>
            </w:r>
          </w:p>
        </w:tc>
        <w:tc>
          <w:tcPr>
            <w:tcW w:w="2409" w:type="dxa"/>
            <w:gridSpan w:val="5"/>
          </w:tcPr>
          <w:p>
            <w:pPr>
              <w:pStyle w:val="9"/>
              <w:spacing w:before="68"/>
              <w:ind w:left="210" w:leftChars="0" w:right="164" w:rightChars="0" w:hanging="210" w:hangingChars="117"/>
              <w:jc w:val="center"/>
              <w:rPr>
                <w:rFonts w:hint="eastAsia" w:eastAsia="宋体"/>
                <w:sz w:val="18"/>
                <w:lang w:eastAsia="zh-CN"/>
              </w:rPr>
            </w:pPr>
            <w:r>
              <w:rPr>
                <w:rFonts w:hint="eastAsia"/>
                <w:sz w:val="18"/>
                <w:lang w:eastAsia="zh-CN"/>
              </w:rPr>
              <w:t>承德市粮油质量检测中心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571" w:type="dxa"/>
            <w:gridSpan w:val="2"/>
            <w:vMerge w:val="restart"/>
          </w:tcPr>
          <w:p>
            <w:pPr>
              <w:pStyle w:val="9"/>
              <w:rPr>
                <w:sz w:val="18"/>
              </w:rPr>
            </w:pPr>
          </w:p>
          <w:p>
            <w:pPr>
              <w:pStyle w:val="9"/>
              <w:rPr>
                <w:sz w:val="18"/>
              </w:rPr>
            </w:pPr>
          </w:p>
          <w:p>
            <w:pPr>
              <w:pStyle w:val="9"/>
              <w:spacing w:before="12"/>
              <w:rPr>
                <w:sz w:val="15"/>
              </w:rPr>
            </w:pPr>
          </w:p>
          <w:p>
            <w:pPr>
              <w:pStyle w:val="9"/>
              <w:ind w:left="428"/>
              <w:rPr>
                <w:sz w:val="18"/>
              </w:rPr>
            </w:pPr>
            <w:r>
              <w:rPr>
                <w:sz w:val="18"/>
              </w:rPr>
              <w:t>项目资金</w:t>
            </w:r>
          </w:p>
          <w:p>
            <w:pPr>
              <w:pStyle w:val="9"/>
              <w:spacing w:before="12"/>
              <w:ind w:left="428"/>
              <w:rPr>
                <w:sz w:val="18"/>
              </w:rPr>
            </w:pPr>
            <w:r>
              <w:rPr>
                <w:sz w:val="18"/>
              </w:rPr>
              <w:t>（万元）</w:t>
            </w:r>
          </w:p>
        </w:tc>
        <w:tc>
          <w:tcPr>
            <w:tcW w:w="1846" w:type="dxa"/>
            <w:gridSpan w:val="2"/>
          </w:tcPr>
          <w:p>
            <w:pPr>
              <w:pStyle w:val="9"/>
              <w:rPr>
                <w:rFonts w:ascii="Times New Roman"/>
                <w:sz w:val="18"/>
              </w:rPr>
            </w:pPr>
          </w:p>
        </w:tc>
        <w:tc>
          <w:tcPr>
            <w:tcW w:w="1136" w:type="dxa"/>
            <w:gridSpan w:val="2"/>
          </w:tcPr>
          <w:p>
            <w:pPr>
              <w:pStyle w:val="9"/>
              <w:spacing w:before="66"/>
              <w:ind w:left="102" w:right="84"/>
              <w:jc w:val="center"/>
              <w:rPr>
                <w:sz w:val="18"/>
              </w:rPr>
            </w:pPr>
            <w:r>
              <w:rPr>
                <w:sz w:val="18"/>
              </w:rPr>
              <w:t>年初预算数</w:t>
            </w:r>
          </w:p>
        </w:tc>
        <w:tc>
          <w:tcPr>
            <w:tcW w:w="1287" w:type="dxa"/>
          </w:tcPr>
          <w:p>
            <w:pPr>
              <w:pStyle w:val="9"/>
              <w:spacing w:before="66"/>
              <w:ind w:left="121"/>
              <w:rPr>
                <w:sz w:val="18"/>
              </w:rPr>
            </w:pPr>
            <w:r>
              <w:rPr>
                <w:sz w:val="18"/>
              </w:rPr>
              <w:t>全年预算数</w:t>
            </w:r>
          </w:p>
        </w:tc>
        <w:tc>
          <w:tcPr>
            <w:tcW w:w="986" w:type="dxa"/>
            <w:gridSpan w:val="2"/>
          </w:tcPr>
          <w:p>
            <w:pPr>
              <w:pStyle w:val="9"/>
              <w:spacing w:before="66"/>
              <w:ind w:left="121"/>
              <w:rPr>
                <w:sz w:val="18"/>
              </w:rPr>
            </w:pPr>
            <w:r>
              <w:rPr>
                <w:sz w:val="18"/>
              </w:rPr>
              <w:t>全年执行数</w:t>
            </w:r>
          </w:p>
        </w:tc>
        <w:tc>
          <w:tcPr>
            <w:tcW w:w="710" w:type="dxa"/>
            <w:gridSpan w:val="2"/>
          </w:tcPr>
          <w:p>
            <w:pPr>
              <w:pStyle w:val="9"/>
              <w:spacing w:before="66"/>
              <w:ind w:left="178"/>
              <w:rPr>
                <w:sz w:val="18"/>
              </w:rPr>
            </w:pPr>
            <w:r>
              <w:rPr>
                <w:sz w:val="18"/>
              </w:rPr>
              <w:t>分值</w:t>
            </w:r>
          </w:p>
        </w:tc>
        <w:tc>
          <w:tcPr>
            <w:tcW w:w="852" w:type="dxa"/>
            <w:gridSpan w:val="2"/>
          </w:tcPr>
          <w:p>
            <w:pPr>
              <w:pStyle w:val="9"/>
              <w:spacing w:before="66"/>
              <w:ind w:left="159"/>
              <w:rPr>
                <w:sz w:val="18"/>
              </w:rPr>
            </w:pPr>
            <w:r>
              <w:rPr>
                <w:sz w:val="18"/>
              </w:rPr>
              <w:t>执行率</w:t>
            </w:r>
          </w:p>
        </w:tc>
        <w:tc>
          <w:tcPr>
            <w:tcW w:w="847" w:type="dxa"/>
          </w:tcPr>
          <w:p>
            <w:pPr>
              <w:pStyle w:val="9"/>
              <w:spacing w:before="66"/>
              <w:ind w:left="159" w:right="143"/>
              <w:jc w:val="center"/>
              <w:rPr>
                <w:sz w:val="18"/>
              </w:rPr>
            </w:pPr>
            <w:r>
              <w:rPr>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8"/>
              <w:ind w:left="112"/>
              <w:rPr>
                <w:sz w:val="18"/>
              </w:rPr>
            </w:pPr>
            <w:r>
              <w:rPr>
                <w:sz w:val="18"/>
              </w:rPr>
              <w:t>年度资金总额</w:t>
            </w:r>
          </w:p>
        </w:tc>
        <w:tc>
          <w:tcPr>
            <w:tcW w:w="1136" w:type="dxa"/>
            <w:gridSpan w:val="2"/>
          </w:tcPr>
          <w:p>
            <w:pPr>
              <w:pStyle w:val="9"/>
              <w:spacing w:before="68"/>
              <w:ind w:left="19"/>
              <w:jc w:val="center"/>
              <w:rPr>
                <w:sz w:val="18"/>
              </w:rPr>
            </w:pPr>
            <w:r>
              <w:rPr>
                <w:sz w:val="18"/>
              </w:rPr>
              <w:t>5</w:t>
            </w:r>
          </w:p>
        </w:tc>
        <w:tc>
          <w:tcPr>
            <w:tcW w:w="1287" w:type="dxa"/>
          </w:tcPr>
          <w:p>
            <w:pPr>
              <w:pStyle w:val="9"/>
              <w:spacing w:before="68"/>
              <w:ind w:left="16"/>
              <w:jc w:val="center"/>
              <w:rPr>
                <w:sz w:val="18"/>
              </w:rPr>
            </w:pPr>
            <w:r>
              <w:rPr>
                <w:sz w:val="18"/>
              </w:rPr>
              <w:t>5</w:t>
            </w:r>
          </w:p>
        </w:tc>
        <w:tc>
          <w:tcPr>
            <w:tcW w:w="986" w:type="dxa"/>
            <w:gridSpan w:val="2"/>
          </w:tcPr>
          <w:p>
            <w:pPr>
              <w:pStyle w:val="9"/>
              <w:spacing w:before="68"/>
              <w:ind w:left="19"/>
              <w:jc w:val="center"/>
              <w:rPr>
                <w:sz w:val="18"/>
              </w:rPr>
            </w:pPr>
            <w:r>
              <w:rPr>
                <w:sz w:val="18"/>
              </w:rPr>
              <w:t>5</w:t>
            </w:r>
          </w:p>
        </w:tc>
        <w:tc>
          <w:tcPr>
            <w:tcW w:w="710" w:type="dxa"/>
            <w:gridSpan w:val="2"/>
          </w:tcPr>
          <w:p>
            <w:pPr>
              <w:pStyle w:val="9"/>
              <w:spacing w:before="68"/>
              <w:ind w:left="157"/>
              <w:rPr>
                <w:sz w:val="18"/>
              </w:rPr>
            </w:pPr>
            <w:r>
              <w:rPr>
                <w:sz w:val="18"/>
              </w:rPr>
              <w:t>10 分</w:t>
            </w:r>
          </w:p>
        </w:tc>
        <w:tc>
          <w:tcPr>
            <w:tcW w:w="852" w:type="dxa"/>
            <w:gridSpan w:val="2"/>
          </w:tcPr>
          <w:p>
            <w:pPr>
              <w:pStyle w:val="9"/>
              <w:spacing w:before="68"/>
              <w:ind w:left="294"/>
              <w:rPr>
                <w:sz w:val="18"/>
              </w:rPr>
            </w:pPr>
            <w:r>
              <w:rPr>
                <w:sz w:val="18"/>
              </w:rPr>
              <w:t>100</w:t>
            </w:r>
          </w:p>
        </w:tc>
        <w:tc>
          <w:tcPr>
            <w:tcW w:w="847" w:type="dxa"/>
          </w:tcPr>
          <w:p>
            <w:pPr>
              <w:pStyle w:val="9"/>
              <w:spacing w:before="68"/>
              <w:ind w:left="133"/>
              <w:rPr>
                <w:sz w:val="18"/>
              </w:rPr>
            </w:pPr>
            <w:r>
              <w:rPr>
                <w:sz w:val="18"/>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8"/>
              <w:ind w:left="117"/>
              <w:rPr>
                <w:sz w:val="18"/>
              </w:rPr>
            </w:pPr>
            <w:r>
              <w:rPr>
                <w:sz w:val="18"/>
              </w:rPr>
              <w:t>其中：当年财政拨款</w:t>
            </w:r>
          </w:p>
        </w:tc>
        <w:tc>
          <w:tcPr>
            <w:tcW w:w="1136" w:type="dxa"/>
            <w:gridSpan w:val="2"/>
          </w:tcPr>
          <w:p>
            <w:pPr>
              <w:pStyle w:val="9"/>
              <w:spacing w:before="68"/>
              <w:ind w:left="19"/>
              <w:jc w:val="center"/>
              <w:rPr>
                <w:sz w:val="18"/>
              </w:rPr>
            </w:pPr>
            <w:r>
              <w:rPr>
                <w:sz w:val="18"/>
              </w:rPr>
              <w:t>5</w:t>
            </w:r>
          </w:p>
        </w:tc>
        <w:tc>
          <w:tcPr>
            <w:tcW w:w="1287" w:type="dxa"/>
          </w:tcPr>
          <w:p>
            <w:pPr>
              <w:pStyle w:val="9"/>
              <w:spacing w:before="68"/>
              <w:ind w:left="16"/>
              <w:jc w:val="center"/>
              <w:rPr>
                <w:sz w:val="18"/>
              </w:rPr>
            </w:pPr>
            <w:r>
              <w:rPr>
                <w:sz w:val="18"/>
              </w:rPr>
              <w:t>5</w:t>
            </w:r>
          </w:p>
        </w:tc>
        <w:tc>
          <w:tcPr>
            <w:tcW w:w="986" w:type="dxa"/>
            <w:gridSpan w:val="2"/>
          </w:tcPr>
          <w:p>
            <w:pPr>
              <w:pStyle w:val="9"/>
              <w:spacing w:before="68"/>
              <w:ind w:left="19"/>
              <w:jc w:val="center"/>
              <w:rPr>
                <w:sz w:val="18"/>
              </w:rPr>
            </w:pPr>
            <w:r>
              <w:rPr>
                <w:sz w:val="18"/>
              </w:rPr>
              <w:t>5</w:t>
            </w:r>
          </w:p>
        </w:tc>
        <w:tc>
          <w:tcPr>
            <w:tcW w:w="710" w:type="dxa"/>
            <w:gridSpan w:val="2"/>
          </w:tcPr>
          <w:p>
            <w:pPr>
              <w:pStyle w:val="9"/>
              <w:spacing w:before="68"/>
              <w:ind w:left="19"/>
              <w:jc w:val="center"/>
              <w:rPr>
                <w:sz w:val="18"/>
              </w:rPr>
            </w:pPr>
            <w:r>
              <w:rPr>
                <w:sz w:val="18"/>
              </w:rPr>
              <w:t>—</w:t>
            </w:r>
          </w:p>
        </w:tc>
        <w:tc>
          <w:tcPr>
            <w:tcW w:w="852" w:type="dxa"/>
            <w:gridSpan w:val="2"/>
          </w:tcPr>
          <w:p>
            <w:pPr>
              <w:pStyle w:val="9"/>
              <w:spacing w:before="68"/>
              <w:ind w:left="294"/>
              <w:rPr>
                <w:sz w:val="18"/>
              </w:rPr>
            </w:pPr>
            <w:r>
              <w:rPr>
                <w:sz w:val="18"/>
              </w:rPr>
              <w:t>100</w:t>
            </w:r>
          </w:p>
        </w:tc>
        <w:tc>
          <w:tcPr>
            <w:tcW w:w="847" w:type="dxa"/>
          </w:tcPr>
          <w:p>
            <w:pPr>
              <w:pStyle w:val="9"/>
              <w:spacing w:before="68"/>
              <w:ind w:left="1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7"/>
              <w:ind w:left="657"/>
              <w:rPr>
                <w:sz w:val="18"/>
              </w:rPr>
            </w:pPr>
            <w:r>
              <w:rPr>
                <w:sz w:val="18"/>
              </w:rPr>
              <w:t>上年结转资金</w:t>
            </w:r>
          </w:p>
        </w:tc>
        <w:tc>
          <w:tcPr>
            <w:tcW w:w="1136" w:type="dxa"/>
            <w:gridSpan w:val="2"/>
          </w:tcPr>
          <w:p>
            <w:pPr>
              <w:pStyle w:val="9"/>
              <w:rPr>
                <w:rFonts w:ascii="Times New Roman"/>
                <w:sz w:val="18"/>
              </w:rPr>
            </w:pPr>
          </w:p>
        </w:tc>
        <w:tc>
          <w:tcPr>
            <w:tcW w:w="1287" w:type="dxa"/>
          </w:tcPr>
          <w:p>
            <w:pPr>
              <w:pStyle w:val="9"/>
              <w:rPr>
                <w:rFonts w:ascii="Times New Roman"/>
                <w:sz w:val="18"/>
              </w:rPr>
            </w:pPr>
          </w:p>
        </w:tc>
        <w:tc>
          <w:tcPr>
            <w:tcW w:w="986" w:type="dxa"/>
            <w:gridSpan w:val="2"/>
          </w:tcPr>
          <w:p>
            <w:pPr>
              <w:pStyle w:val="9"/>
              <w:rPr>
                <w:rFonts w:ascii="Times New Roman"/>
                <w:sz w:val="18"/>
              </w:rPr>
            </w:pPr>
          </w:p>
        </w:tc>
        <w:tc>
          <w:tcPr>
            <w:tcW w:w="710" w:type="dxa"/>
            <w:gridSpan w:val="2"/>
          </w:tcPr>
          <w:p>
            <w:pPr>
              <w:pStyle w:val="9"/>
              <w:spacing w:before="67"/>
              <w:ind w:left="19"/>
              <w:jc w:val="center"/>
              <w:rPr>
                <w:sz w:val="18"/>
              </w:rPr>
            </w:pPr>
            <w:r>
              <w:rPr>
                <w:sz w:val="18"/>
              </w:rPr>
              <w:t>—</w:t>
            </w:r>
          </w:p>
        </w:tc>
        <w:tc>
          <w:tcPr>
            <w:tcW w:w="852" w:type="dxa"/>
            <w:gridSpan w:val="2"/>
          </w:tcPr>
          <w:p>
            <w:pPr>
              <w:pStyle w:val="9"/>
              <w:rPr>
                <w:rFonts w:ascii="Times New Roman"/>
                <w:sz w:val="18"/>
              </w:rPr>
            </w:pPr>
          </w:p>
        </w:tc>
        <w:tc>
          <w:tcPr>
            <w:tcW w:w="847" w:type="dxa"/>
          </w:tcPr>
          <w:p>
            <w:pPr>
              <w:pStyle w:val="9"/>
              <w:spacing w:before="67"/>
              <w:ind w:left="1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571" w:type="dxa"/>
            <w:gridSpan w:val="2"/>
            <w:vMerge w:val="continue"/>
            <w:tcBorders>
              <w:top w:val="nil"/>
            </w:tcBorders>
          </w:tcPr>
          <w:p>
            <w:pPr>
              <w:rPr>
                <w:sz w:val="2"/>
                <w:szCs w:val="2"/>
              </w:rPr>
            </w:pPr>
          </w:p>
        </w:tc>
        <w:tc>
          <w:tcPr>
            <w:tcW w:w="1846" w:type="dxa"/>
            <w:gridSpan w:val="2"/>
          </w:tcPr>
          <w:p>
            <w:pPr>
              <w:pStyle w:val="9"/>
              <w:spacing w:before="67"/>
              <w:ind w:left="657"/>
              <w:rPr>
                <w:sz w:val="18"/>
              </w:rPr>
            </w:pPr>
            <w:r>
              <w:rPr>
                <w:sz w:val="18"/>
              </w:rPr>
              <w:t>其他资金</w:t>
            </w:r>
          </w:p>
        </w:tc>
        <w:tc>
          <w:tcPr>
            <w:tcW w:w="1136" w:type="dxa"/>
            <w:gridSpan w:val="2"/>
          </w:tcPr>
          <w:p>
            <w:pPr>
              <w:pStyle w:val="9"/>
              <w:rPr>
                <w:rFonts w:ascii="Times New Roman"/>
                <w:sz w:val="18"/>
              </w:rPr>
            </w:pPr>
          </w:p>
        </w:tc>
        <w:tc>
          <w:tcPr>
            <w:tcW w:w="1287" w:type="dxa"/>
          </w:tcPr>
          <w:p>
            <w:pPr>
              <w:pStyle w:val="9"/>
              <w:rPr>
                <w:rFonts w:ascii="Times New Roman"/>
                <w:sz w:val="18"/>
              </w:rPr>
            </w:pPr>
          </w:p>
        </w:tc>
        <w:tc>
          <w:tcPr>
            <w:tcW w:w="986" w:type="dxa"/>
            <w:gridSpan w:val="2"/>
          </w:tcPr>
          <w:p>
            <w:pPr>
              <w:pStyle w:val="9"/>
              <w:rPr>
                <w:rFonts w:ascii="Times New Roman"/>
                <w:sz w:val="18"/>
              </w:rPr>
            </w:pPr>
          </w:p>
        </w:tc>
        <w:tc>
          <w:tcPr>
            <w:tcW w:w="710" w:type="dxa"/>
            <w:gridSpan w:val="2"/>
          </w:tcPr>
          <w:p>
            <w:pPr>
              <w:pStyle w:val="9"/>
              <w:spacing w:before="67"/>
              <w:ind w:left="19"/>
              <w:jc w:val="center"/>
              <w:rPr>
                <w:sz w:val="18"/>
              </w:rPr>
            </w:pPr>
            <w:r>
              <w:rPr>
                <w:sz w:val="18"/>
              </w:rPr>
              <w:t>—</w:t>
            </w:r>
          </w:p>
        </w:tc>
        <w:tc>
          <w:tcPr>
            <w:tcW w:w="852" w:type="dxa"/>
            <w:gridSpan w:val="2"/>
          </w:tcPr>
          <w:p>
            <w:pPr>
              <w:pStyle w:val="9"/>
              <w:rPr>
                <w:rFonts w:ascii="Times New Roman"/>
                <w:sz w:val="18"/>
              </w:rPr>
            </w:pPr>
          </w:p>
        </w:tc>
        <w:tc>
          <w:tcPr>
            <w:tcW w:w="847" w:type="dxa"/>
          </w:tcPr>
          <w:p>
            <w:pPr>
              <w:pStyle w:val="9"/>
              <w:spacing w:before="67"/>
              <w:ind w:left="18"/>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9" w:type="dxa"/>
            <w:vMerge w:val="restart"/>
          </w:tcPr>
          <w:p>
            <w:pPr>
              <w:pStyle w:val="9"/>
              <w:rPr>
                <w:sz w:val="18"/>
              </w:rPr>
            </w:pPr>
          </w:p>
          <w:p>
            <w:pPr>
              <w:pStyle w:val="9"/>
              <w:spacing w:before="8"/>
              <w:rPr>
                <w:sz w:val="13"/>
              </w:rPr>
            </w:pPr>
          </w:p>
          <w:p>
            <w:pPr>
              <w:pStyle w:val="9"/>
              <w:spacing w:before="1" w:line="252" w:lineRule="auto"/>
              <w:ind w:left="119" w:right="95"/>
              <w:jc w:val="both"/>
              <w:rPr>
                <w:sz w:val="18"/>
              </w:rPr>
            </w:pPr>
            <w:r>
              <w:rPr>
                <w:sz w:val="18"/>
              </w:rPr>
              <w:t>年度总体目标</w:t>
            </w:r>
          </w:p>
        </w:tc>
        <w:tc>
          <w:tcPr>
            <w:tcW w:w="5251" w:type="dxa"/>
            <w:gridSpan w:val="6"/>
          </w:tcPr>
          <w:p>
            <w:pPr>
              <w:pStyle w:val="9"/>
              <w:spacing w:before="67"/>
              <w:ind w:left="2174" w:right="2157"/>
              <w:jc w:val="center"/>
              <w:rPr>
                <w:sz w:val="18"/>
              </w:rPr>
            </w:pPr>
            <w:r>
              <w:rPr>
                <w:sz w:val="18"/>
              </w:rPr>
              <w:t>预期目标</w:t>
            </w:r>
          </w:p>
        </w:tc>
        <w:tc>
          <w:tcPr>
            <w:tcW w:w="3395" w:type="dxa"/>
            <w:gridSpan w:val="7"/>
          </w:tcPr>
          <w:p>
            <w:pPr>
              <w:pStyle w:val="9"/>
              <w:spacing w:before="67"/>
              <w:ind w:left="1148" w:right="1132"/>
              <w:jc w:val="center"/>
              <w:rPr>
                <w:sz w:val="18"/>
              </w:rPr>
            </w:pPr>
            <w:r>
              <w:rPr>
                <w:sz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589" w:type="dxa"/>
            <w:vMerge w:val="continue"/>
            <w:tcBorders>
              <w:top w:val="nil"/>
            </w:tcBorders>
          </w:tcPr>
          <w:p>
            <w:pPr>
              <w:rPr>
                <w:sz w:val="2"/>
                <w:szCs w:val="2"/>
              </w:rPr>
            </w:pPr>
          </w:p>
        </w:tc>
        <w:tc>
          <w:tcPr>
            <w:tcW w:w="5251" w:type="dxa"/>
            <w:gridSpan w:val="6"/>
          </w:tcPr>
          <w:p>
            <w:pPr>
              <w:pStyle w:val="9"/>
              <w:spacing w:before="5"/>
              <w:rPr>
                <w:sz w:val="14"/>
              </w:rPr>
            </w:pPr>
          </w:p>
          <w:p>
            <w:pPr>
              <w:pStyle w:val="9"/>
              <w:spacing w:line="229" w:lineRule="exact"/>
              <w:ind w:left="113"/>
              <w:rPr>
                <w:rFonts w:hint="eastAsia" w:ascii="仿宋" w:eastAsia="仿宋"/>
                <w:sz w:val="18"/>
              </w:rPr>
            </w:pPr>
          </w:p>
        </w:tc>
        <w:tc>
          <w:tcPr>
            <w:tcW w:w="3395" w:type="dxa"/>
            <w:gridSpan w:val="7"/>
          </w:tcPr>
          <w:p>
            <w:pPr>
              <w:pStyle w:val="9"/>
              <w:spacing w:before="179"/>
              <w:ind w:firstLine="420" w:firstLineChars="200"/>
              <w:rPr>
                <w:rFonts w:hint="eastAsia" w:ascii="仿宋" w:eastAsia="仿宋"/>
                <w:sz w:val="21"/>
              </w:rPr>
            </w:pPr>
            <w:r>
              <w:rPr>
                <w:rFonts w:hint="eastAsia" w:ascii="仿宋" w:eastAsia="仿宋"/>
                <w:sz w:val="21"/>
              </w:rPr>
              <w:t>共出具检验报告8份，其中接受监督检验样品6批次，接受外部委托2批次。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89" w:type="dxa"/>
            <w:vMerge w:val="restart"/>
          </w:tcPr>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rPr>
                <w:sz w:val="18"/>
              </w:rPr>
            </w:pPr>
          </w:p>
          <w:p>
            <w:pPr>
              <w:pStyle w:val="9"/>
              <w:spacing w:before="123" w:line="252" w:lineRule="auto"/>
              <w:ind w:left="207" w:right="189"/>
              <w:jc w:val="both"/>
              <w:rPr>
                <w:sz w:val="18"/>
              </w:rPr>
            </w:pPr>
            <w:r>
              <w:rPr>
                <w:sz w:val="18"/>
              </w:rPr>
              <w:t>绩效指标</w:t>
            </w:r>
          </w:p>
        </w:tc>
        <w:tc>
          <w:tcPr>
            <w:tcW w:w="982" w:type="dxa"/>
            <w:vAlign w:val="center"/>
          </w:tcPr>
          <w:p>
            <w:pPr>
              <w:pStyle w:val="9"/>
              <w:spacing w:before="2"/>
              <w:jc w:val="center"/>
              <w:rPr>
                <w:sz w:val="16"/>
              </w:rPr>
            </w:pPr>
          </w:p>
          <w:p>
            <w:pPr>
              <w:pStyle w:val="9"/>
              <w:ind w:left="134"/>
              <w:jc w:val="center"/>
              <w:rPr>
                <w:sz w:val="18"/>
              </w:rPr>
            </w:pPr>
            <w:r>
              <w:rPr>
                <w:sz w:val="18"/>
              </w:rPr>
              <w:t>一级指标</w:t>
            </w:r>
          </w:p>
        </w:tc>
        <w:tc>
          <w:tcPr>
            <w:tcW w:w="1215" w:type="dxa"/>
            <w:vAlign w:val="center"/>
          </w:tcPr>
          <w:p>
            <w:pPr>
              <w:pStyle w:val="9"/>
              <w:spacing w:before="2"/>
              <w:jc w:val="center"/>
              <w:rPr>
                <w:sz w:val="16"/>
              </w:rPr>
            </w:pPr>
          </w:p>
          <w:p>
            <w:pPr>
              <w:pStyle w:val="9"/>
              <w:ind w:left="201"/>
              <w:jc w:val="center"/>
              <w:rPr>
                <w:sz w:val="18"/>
              </w:rPr>
            </w:pPr>
            <w:r>
              <w:rPr>
                <w:sz w:val="18"/>
              </w:rPr>
              <w:t>二级指标</w:t>
            </w:r>
          </w:p>
        </w:tc>
        <w:tc>
          <w:tcPr>
            <w:tcW w:w="1322" w:type="dxa"/>
            <w:gridSpan w:val="2"/>
            <w:vAlign w:val="center"/>
          </w:tcPr>
          <w:p>
            <w:pPr>
              <w:pStyle w:val="9"/>
              <w:spacing w:before="2"/>
              <w:jc w:val="center"/>
              <w:rPr>
                <w:sz w:val="16"/>
              </w:rPr>
            </w:pPr>
          </w:p>
          <w:p>
            <w:pPr>
              <w:pStyle w:val="9"/>
              <w:ind w:left="18" w:leftChars="0" w:hanging="18" w:hangingChars="10"/>
              <w:jc w:val="center"/>
              <w:rPr>
                <w:sz w:val="18"/>
              </w:rPr>
            </w:pPr>
            <w:r>
              <w:rPr>
                <w:sz w:val="18"/>
              </w:rPr>
              <w:t>三级指标</w:t>
            </w:r>
          </w:p>
        </w:tc>
        <w:tc>
          <w:tcPr>
            <w:tcW w:w="1732" w:type="dxa"/>
            <w:gridSpan w:val="2"/>
            <w:vAlign w:val="center"/>
          </w:tcPr>
          <w:p>
            <w:pPr>
              <w:pStyle w:val="9"/>
              <w:spacing w:before="85" w:line="252" w:lineRule="auto"/>
              <w:ind w:left="161" w:right="139" w:firstLine="86"/>
              <w:jc w:val="center"/>
              <w:rPr>
                <w:sz w:val="18"/>
              </w:rPr>
            </w:pPr>
            <w:r>
              <w:rPr>
                <w:sz w:val="18"/>
              </w:rPr>
              <w:t>年度指标值</w:t>
            </w:r>
          </w:p>
        </w:tc>
        <w:tc>
          <w:tcPr>
            <w:tcW w:w="764" w:type="dxa"/>
            <w:vAlign w:val="center"/>
          </w:tcPr>
          <w:p>
            <w:pPr>
              <w:pStyle w:val="9"/>
              <w:spacing w:before="85" w:line="252" w:lineRule="auto"/>
              <w:ind w:left="160" w:right="139" w:firstLine="86"/>
              <w:jc w:val="center"/>
              <w:rPr>
                <w:sz w:val="18"/>
              </w:rPr>
            </w:pPr>
            <w:r>
              <w:rPr>
                <w:sz w:val="18"/>
              </w:rPr>
              <w:t>实际完成值</w:t>
            </w:r>
          </w:p>
        </w:tc>
        <w:tc>
          <w:tcPr>
            <w:tcW w:w="681" w:type="dxa"/>
            <w:gridSpan w:val="2"/>
            <w:vAlign w:val="center"/>
          </w:tcPr>
          <w:p>
            <w:pPr>
              <w:pStyle w:val="9"/>
              <w:spacing w:before="85" w:line="252" w:lineRule="auto"/>
              <w:ind w:left="198" w:right="177"/>
              <w:jc w:val="center"/>
              <w:rPr>
                <w:sz w:val="18"/>
              </w:rPr>
            </w:pPr>
            <w:r>
              <w:rPr>
                <w:sz w:val="18"/>
              </w:rPr>
              <w:t>分值</w:t>
            </w:r>
          </w:p>
        </w:tc>
        <w:tc>
          <w:tcPr>
            <w:tcW w:w="887" w:type="dxa"/>
            <w:gridSpan w:val="2"/>
            <w:vAlign w:val="center"/>
          </w:tcPr>
          <w:p>
            <w:pPr>
              <w:pStyle w:val="9"/>
              <w:spacing w:before="85" w:line="252" w:lineRule="auto"/>
              <w:ind w:left="197" w:right="178"/>
              <w:jc w:val="center"/>
              <w:rPr>
                <w:sz w:val="18"/>
              </w:rPr>
            </w:pPr>
            <w:r>
              <w:rPr>
                <w:sz w:val="18"/>
              </w:rPr>
              <w:t>得分</w:t>
            </w:r>
          </w:p>
        </w:tc>
        <w:tc>
          <w:tcPr>
            <w:tcW w:w="1063" w:type="dxa"/>
            <w:gridSpan w:val="2"/>
            <w:vAlign w:val="center"/>
          </w:tcPr>
          <w:p>
            <w:pPr>
              <w:pStyle w:val="9"/>
              <w:spacing w:before="85" w:line="252" w:lineRule="auto"/>
              <w:ind w:left="265" w:right="153" w:hanging="89"/>
              <w:jc w:val="center"/>
              <w:rPr>
                <w:sz w:val="18"/>
              </w:rPr>
            </w:pPr>
            <w:r>
              <w:rPr>
                <w:sz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89" w:type="dxa"/>
            <w:vMerge w:val="continue"/>
            <w:tcBorders>
              <w:top w:val="nil"/>
            </w:tcBorders>
          </w:tcPr>
          <w:p>
            <w:pPr>
              <w:rPr>
                <w:sz w:val="2"/>
                <w:szCs w:val="2"/>
              </w:rPr>
            </w:pPr>
          </w:p>
        </w:tc>
        <w:tc>
          <w:tcPr>
            <w:tcW w:w="982" w:type="dxa"/>
            <w:vMerge w:val="restart"/>
          </w:tcPr>
          <w:p>
            <w:pPr>
              <w:pStyle w:val="9"/>
              <w:spacing w:before="68"/>
              <w:ind w:left="117"/>
              <w:jc w:val="center"/>
              <w:rPr>
                <w:sz w:val="18"/>
              </w:rPr>
            </w:pPr>
          </w:p>
          <w:p>
            <w:pPr>
              <w:pStyle w:val="9"/>
              <w:spacing w:before="68"/>
              <w:ind w:left="117"/>
              <w:jc w:val="center"/>
              <w:rPr>
                <w:sz w:val="18"/>
              </w:rPr>
            </w:pPr>
          </w:p>
          <w:p>
            <w:pPr>
              <w:pStyle w:val="9"/>
              <w:spacing w:before="68"/>
              <w:ind w:left="117"/>
              <w:jc w:val="center"/>
              <w:rPr>
                <w:sz w:val="18"/>
              </w:rPr>
            </w:pPr>
          </w:p>
          <w:p>
            <w:pPr>
              <w:pStyle w:val="9"/>
              <w:spacing w:before="68"/>
              <w:ind w:left="117"/>
              <w:jc w:val="center"/>
              <w:rPr>
                <w:sz w:val="18"/>
              </w:rPr>
            </w:pPr>
          </w:p>
          <w:p>
            <w:pPr>
              <w:pStyle w:val="9"/>
              <w:spacing w:before="68"/>
              <w:ind w:left="117"/>
              <w:jc w:val="center"/>
              <w:rPr>
                <w:sz w:val="18"/>
              </w:rPr>
            </w:pPr>
            <w:r>
              <w:rPr>
                <w:sz w:val="18"/>
              </w:rPr>
              <w:t>产出指标50 分</w:t>
            </w:r>
          </w:p>
        </w:tc>
        <w:tc>
          <w:tcPr>
            <w:tcW w:w="1215" w:type="dxa"/>
            <w:vAlign w:val="center"/>
          </w:tcPr>
          <w:p>
            <w:pPr>
              <w:pStyle w:val="9"/>
              <w:spacing w:before="68"/>
              <w:ind w:left="117"/>
              <w:jc w:val="center"/>
              <w:rPr>
                <w:sz w:val="18"/>
              </w:rPr>
            </w:pPr>
            <w:r>
              <w:rPr>
                <w:sz w:val="18"/>
              </w:rPr>
              <w:t>数量指标</w:t>
            </w:r>
          </w:p>
        </w:tc>
        <w:tc>
          <w:tcPr>
            <w:tcW w:w="1322" w:type="dxa"/>
            <w:gridSpan w:val="2"/>
            <w:vAlign w:val="center"/>
          </w:tcPr>
          <w:p>
            <w:pPr>
              <w:pStyle w:val="9"/>
              <w:spacing w:before="68"/>
              <w:ind w:left="117"/>
              <w:jc w:val="center"/>
              <w:rPr>
                <w:rFonts w:hint="eastAsia"/>
                <w:sz w:val="18"/>
              </w:rPr>
            </w:pPr>
            <w:r>
              <w:rPr>
                <w:rFonts w:hint="eastAsia"/>
                <w:sz w:val="18"/>
              </w:rPr>
              <w:t>实际检测数量</w:t>
            </w:r>
          </w:p>
        </w:tc>
        <w:tc>
          <w:tcPr>
            <w:tcW w:w="1732" w:type="dxa"/>
            <w:gridSpan w:val="2"/>
            <w:vAlign w:val="center"/>
          </w:tcPr>
          <w:p>
            <w:pPr>
              <w:pStyle w:val="9"/>
              <w:spacing w:before="68"/>
              <w:ind w:left="117"/>
              <w:jc w:val="center"/>
              <w:rPr>
                <w:rFonts w:hint="eastAsia"/>
                <w:sz w:val="18"/>
              </w:rPr>
            </w:pPr>
            <w:r>
              <w:rPr>
                <w:rFonts w:hint="eastAsia"/>
                <w:sz w:val="18"/>
              </w:rPr>
              <w:t>上级下达检测数量</w:t>
            </w:r>
          </w:p>
        </w:tc>
        <w:tc>
          <w:tcPr>
            <w:tcW w:w="764" w:type="dxa"/>
            <w:vAlign w:val="center"/>
          </w:tcPr>
          <w:p>
            <w:pPr>
              <w:pStyle w:val="9"/>
              <w:ind w:right="206"/>
              <w:jc w:val="center"/>
              <w:rPr>
                <w:rFonts w:hint="eastAsia" w:ascii="宋体" w:hAnsi="宋体" w:eastAsia="宋体" w:cs="宋体"/>
                <w:kern w:val="2"/>
                <w:sz w:val="18"/>
                <w:szCs w:val="22"/>
                <w:lang w:val="en-US" w:eastAsia="zh-CN" w:bidi="zh-CN"/>
              </w:rPr>
            </w:pPr>
          </w:p>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8</w:t>
            </w:r>
          </w:p>
        </w:tc>
        <w:tc>
          <w:tcPr>
            <w:tcW w:w="681" w:type="dxa"/>
            <w:gridSpan w:val="2"/>
            <w:vAlign w:val="center"/>
          </w:tcPr>
          <w:p>
            <w:pPr>
              <w:pStyle w:val="9"/>
              <w:ind w:right="206"/>
              <w:jc w:val="center"/>
              <w:rPr>
                <w:rFonts w:hint="eastAsia" w:ascii="宋体" w:hAnsi="宋体" w:eastAsia="宋体" w:cs="宋体"/>
                <w:kern w:val="2"/>
                <w:sz w:val="18"/>
                <w:szCs w:val="22"/>
                <w:lang w:val="en-US" w:eastAsia="zh-CN" w:bidi="zh-CN"/>
              </w:rPr>
            </w:pPr>
          </w:p>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887" w:type="dxa"/>
            <w:gridSpan w:val="2"/>
            <w:vAlign w:val="center"/>
          </w:tcPr>
          <w:p>
            <w:pPr>
              <w:pStyle w:val="9"/>
              <w:ind w:right="206"/>
              <w:jc w:val="center"/>
              <w:rPr>
                <w:rFonts w:hint="eastAsia" w:ascii="宋体" w:hAnsi="宋体" w:eastAsia="宋体" w:cs="宋体"/>
                <w:kern w:val="2"/>
                <w:sz w:val="18"/>
                <w:szCs w:val="22"/>
                <w:lang w:val="en-US" w:eastAsia="zh-CN" w:bidi="zh-CN"/>
              </w:rPr>
            </w:pPr>
          </w:p>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1063" w:type="dxa"/>
            <w:gridSpan w:val="2"/>
            <w:vAlign w:val="center"/>
          </w:tcPr>
          <w:p>
            <w:pPr>
              <w:pStyle w:val="9"/>
              <w:ind w:right="206"/>
              <w:jc w:val="center"/>
              <w:rPr>
                <w:rFonts w:hint="eastAsia" w:ascii="宋体" w:hAnsi="宋体" w:eastAsia="宋体" w:cs="宋体"/>
                <w:kern w:val="2"/>
                <w:sz w:val="18"/>
                <w:szCs w:val="22"/>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8"/>
              <w:jc w:val="center"/>
              <w:rPr>
                <w:rFonts w:ascii="宋体" w:hAnsi="宋体" w:eastAsia="宋体" w:cs="宋体"/>
                <w:kern w:val="2"/>
                <w:sz w:val="18"/>
                <w:szCs w:val="22"/>
                <w:lang w:val="zh-CN" w:eastAsia="zh-CN" w:bidi="zh-CN"/>
              </w:rPr>
            </w:pPr>
          </w:p>
          <w:p>
            <w:pPr>
              <w:pStyle w:val="9"/>
              <w:ind w:left="201"/>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质量指标</w:t>
            </w:r>
          </w:p>
        </w:tc>
        <w:tc>
          <w:tcPr>
            <w:tcW w:w="1322" w:type="dxa"/>
            <w:gridSpan w:val="2"/>
            <w:vAlign w:val="center"/>
          </w:tcPr>
          <w:p>
            <w:pPr>
              <w:pStyle w:val="9"/>
              <w:spacing w:before="119" w:line="266" w:lineRule="auto"/>
              <w:ind w:left="112" w:right="49"/>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检验准确率</w:t>
            </w:r>
          </w:p>
        </w:tc>
        <w:tc>
          <w:tcPr>
            <w:tcW w:w="1732" w:type="dxa"/>
            <w:gridSpan w:val="2"/>
            <w:vAlign w:val="center"/>
          </w:tcPr>
          <w:p>
            <w:pPr>
              <w:pStyle w:val="9"/>
              <w:ind w:left="71" w:right="54"/>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≥98百分比</w:t>
            </w:r>
          </w:p>
        </w:tc>
        <w:tc>
          <w:tcPr>
            <w:tcW w:w="764" w:type="dxa"/>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681"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887"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4"/>
              <w:jc w:val="center"/>
              <w:rPr>
                <w:rFonts w:ascii="宋体" w:hAnsi="宋体" w:eastAsia="宋体" w:cs="宋体"/>
                <w:kern w:val="2"/>
                <w:sz w:val="18"/>
                <w:szCs w:val="22"/>
                <w:lang w:val="zh-CN" w:eastAsia="zh-CN" w:bidi="zh-CN"/>
              </w:rPr>
            </w:pPr>
          </w:p>
          <w:p>
            <w:pPr>
              <w:pStyle w:val="9"/>
              <w:ind w:left="201"/>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时效指标</w:t>
            </w:r>
          </w:p>
        </w:tc>
        <w:tc>
          <w:tcPr>
            <w:tcW w:w="1322" w:type="dxa"/>
            <w:gridSpan w:val="2"/>
            <w:vAlign w:val="center"/>
          </w:tcPr>
          <w:p>
            <w:pPr>
              <w:pStyle w:val="9"/>
              <w:spacing w:before="119" w:line="266" w:lineRule="auto"/>
              <w:ind w:left="112" w:right="49"/>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检测及时率</w:t>
            </w:r>
          </w:p>
        </w:tc>
        <w:tc>
          <w:tcPr>
            <w:tcW w:w="1732" w:type="dxa"/>
            <w:gridSpan w:val="2"/>
            <w:vAlign w:val="center"/>
          </w:tcPr>
          <w:p>
            <w:pPr>
              <w:pStyle w:val="9"/>
              <w:spacing w:before="62" w:line="213" w:lineRule="auto"/>
              <w:ind w:left="324" w:right="200" w:hanging="106"/>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≥98百分比</w:t>
            </w:r>
          </w:p>
        </w:tc>
        <w:tc>
          <w:tcPr>
            <w:tcW w:w="764" w:type="dxa"/>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681"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w:t>
            </w:r>
          </w:p>
        </w:tc>
        <w:tc>
          <w:tcPr>
            <w:tcW w:w="887"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7"/>
              <w:ind w:left="201"/>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成本指标</w:t>
            </w:r>
          </w:p>
        </w:tc>
        <w:tc>
          <w:tcPr>
            <w:tcW w:w="1322" w:type="dxa"/>
            <w:gridSpan w:val="2"/>
            <w:vAlign w:val="center"/>
          </w:tcPr>
          <w:p>
            <w:pPr>
              <w:pStyle w:val="9"/>
              <w:spacing w:before="119" w:line="266" w:lineRule="auto"/>
              <w:ind w:left="112" w:right="49"/>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粮食检验经费</w:t>
            </w:r>
          </w:p>
        </w:tc>
        <w:tc>
          <w:tcPr>
            <w:tcW w:w="1732" w:type="dxa"/>
            <w:gridSpan w:val="2"/>
            <w:vAlign w:val="center"/>
          </w:tcPr>
          <w:p>
            <w:pPr>
              <w:pStyle w:val="9"/>
              <w:spacing w:before="35"/>
              <w:ind w:left="71" w:right="54"/>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≤5万元</w:t>
            </w:r>
          </w:p>
        </w:tc>
        <w:tc>
          <w:tcPr>
            <w:tcW w:w="764" w:type="dxa"/>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5</w:t>
            </w:r>
          </w:p>
        </w:tc>
        <w:tc>
          <w:tcPr>
            <w:tcW w:w="681"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w:t>
            </w:r>
          </w:p>
        </w:tc>
        <w:tc>
          <w:tcPr>
            <w:tcW w:w="887"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89" w:type="dxa"/>
            <w:vMerge w:val="continue"/>
            <w:tcBorders>
              <w:top w:val="nil"/>
            </w:tcBorders>
          </w:tcPr>
          <w:p>
            <w:pPr>
              <w:rPr>
                <w:sz w:val="2"/>
                <w:szCs w:val="2"/>
              </w:rPr>
            </w:pPr>
          </w:p>
        </w:tc>
        <w:tc>
          <w:tcPr>
            <w:tcW w:w="982" w:type="dxa"/>
            <w:vMerge w:val="restart"/>
          </w:tcPr>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效益指标30 分</w:t>
            </w:r>
          </w:p>
        </w:tc>
        <w:tc>
          <w:tcPr>
            <w:tcW w:w="1215" w:type="dxa"/>
            <w:vAlign w:val="center"/>
          </w:tcPr>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经济效益指标</w:t>
            </w:r>
          </w:p>
        </w:tc>
        <w:tc>
          <w:tcPr>
            <w:tcW w:w="1322" w:type="dxa"/>
            <w:gridSpan w:val="2"/>
            <w:vAlign w:val="center"/>
          </w:tcPr>
          <w:p>
            <w:pPr>
              <w:pStyle w:val="9"/>
              <w:spacing w:before="68"/>
              <w:ind w:left="117"/>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本项目不涉及经济效益指标</w:t>
            </w:r>
          </w:p>
        </w:tc>
        <w:tc>
          <w:tcPr>
            <w:tcW w:w="1732" w:type="dxa"/>
            <w:gridSpan w:val="2"/>
            <w:vAlign w:val="center"/>
          </w:tcPr>
          <w:p>
            <w:pPr>
              <w:pStyle w:val="9"/>
              <w:spacing w:before="68"/>
              <w:ind w:left="117"/>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本项目不涉及经济效益指标</w:t>
            </w:r>
          </w:p>
        </w:tc>
        <w:tc>
          <w:tcPr>
            <w:tcW w:w="764" w:type="dxa"/>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0</w:t>
            </w:r>
          </w:p>
        </w:tc>
        <w:tc>
          <w:tcPr>
            <w:tcW w:w="681" w:type="dxa"/>
            <w:gridSpan w:val="2"/>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0</w:t>
            </w:r>
          </w:p>
        </w:tc>
        <w:tc>
          <w:tcPr>
            <w:tcW w:w="887" w:type="dxa"/>
            <w:gridSpan w:val="2"/>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2" w:line="252" w:lineRule="auto"/>
              <w:ind w:left="381" w:right="180" w:hanging="180"/>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社会效益指标</w:t>
            </w:r>
          </w:p>
        </w:tc>
        <w:tc>
          <w:tcPr>
            <w:tcW w:w="1322" w:type="dxa"/>
            <w:gridSpan w:val="2"/>
            <w:vAlign w:val="center"/>
          </w:tcPr>
          <w:p>
            <w:pPr>
              <w:pStyle w:val="9"/>
              <w:spacing w:before="171"/>
              <w:ind w:left="112"/>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确保辖区内粮食的质量安全</w:t>
            </w:r>
          </w:p>
        </w:tc>
        <w:tc>
          <w:tcPr>
            <w:tcW w:w="1732" w:type="dxa"/>
            <w:gridSpan w:val="2"/>
            <w:vAlign w:val="center"/>
          </w:tcPr>
          <w:p>
            <w:pPr>
              <w:pStyle w:val="9"/>
              <w:spacing w:before="152"/>
              <w:ind w:left="71" w:right="54"/>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≥3家</w:t>
            </w:r>
          </w:p>
        </w:tc>
        <w:tc>
          <w:tcPr>
            <w:tcW w:w="764" w:type="dxa"/>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4家</w:t>
            </w:r>
          </w:p>
        </w:tc>
        <w:tc>
          <w:tcPr>
            <w:tcW w:w="681"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887"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124" w:line="252" w:lineRule="auto"/>
              <w:ind w:left="381" w:right="180" w:hanging="180"/>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生态效益指标</w:t>
            </w:r>
          </w:p>
        </w:tc>
        <w:tc>
          <w:tcPr>
            <w:tcW w:w="1322" w:type="dxa"/>
            <w:gridSpan w:val="2"/>
            <w:vAlign w:val="center"/>
          </w:tcPr>
          <w:p>
            <w:pPr>
              <w:pStyle w:val="9"/>
              <w:spacing w:before="117" w:line="213" w:lineRule="auto"/>
              <w:ind w:left="112" w:right="49"/>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满足生态环保要求</w:t>
            </w:r>
          </w:p>
        </w:tc>
        <w:tc>
          <w:tcPr>
            <w:tcW w:w="1732" w:type="dxa"/>
            <w:gridSpan w:val="2"/>
            <w:vAlign w:val="center"/>
          </w:tcPr>
          <w:p>
            <w:pPr>
              <w:pStyle w:val="9"/>
              <w:jc w:val="center"/>
              <w:rPr>
                <w:rFonts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废弃物进行有效处理</w:t>
            </w:r>
          </w:p>
        </w:tc>
        <w:tc>
          <w:tcPr>
            <w:tcW w:w="764" w:type="dxa"/>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681"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887" w:type="dxa"/>
            <w:gridSpan w:val="2"/>
            <w:vAlign w:val="center"/>
          </w:tcPr>
          <w:p>
            <w:pPr>
              <w:pStyle w:val="9"/>
              <w:ind w:right="20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Align w:val="center"/>
          </w:tcPr>
          <w:p>
            <w:pPr>
              <w:pStyle w:val="9"/>
              <w:spacing w:before="67" w:line="252" w:lineRule="auto"/>
              <w:ind w:left="290" w:right="180" w:hanging="89"/>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可持续影响指标</w:t>
            </w:r>
          </w:p>
        </w:tc>
        <w:tc>
          <w:tcPr>
            <w:tcW w:w="1322" w:type="dxa"/>
            <w:gridSpan w:val="2"/>
            <w:vAlign w:val="center"/>
          </w:tcPr>
          <w:p>
            <w:pPr>
              <w:pStyle w:val="9"/>
              <w:spacing w:before="157"/>
              <w:ind w:left="112"/>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本项目不涉及可持续影响指标</w:t>
            </w:r>
          </w:p>
        </w:tc>
        <w:tc>
          <w:tcPr>
            <w:tcW w:w="1732" w:type="dxa"/>
            <w:gridSpan w:val="2"/>
            <w:vAlign w:val="center"/>
          </w:tcPr>
          <w:p>
            <w:pPr>
              <w:pStyle w:val="9"/>
              <w:ind w:left="71" w:right="54"/>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本项目不涉及可持续影响指标</w:t>
            </w:r>
          </w:p>
        </w:tc>
        <w:tc>
          <w:tcPr>
            <w:tcW w:w="764" w:type="dxa"/>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0</w:t>
            </w:r>
          </w:p>
        </w:tc>
        <w:tc>
          <w:tcPr>
            <w:tcW w:w="681" w:type="dxa"/>
            <w:gridSpan w:val="2"/>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0</w:t>
            </w:r>
          </w:p>
        </w:tc>
        <w:tc>
          <w:tcPr>
            <w:tcW w:w="887" w:type="dxa"/>
            <w:gridSpan w:val="2"/>
            <w:vAlign w:val="center"/>
          </w:tcPr>
          <w:p>
            <w:pPr>
              <w:pStyle w:val="9"/>
              <w:ind w:right="206"/>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0</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89" w:type="dxa"/>
            <w:vMerge w:val="continue"/>
            <w:tcBorders>
              <w:top w:val="nil"/>
            </w:tcBorders>
          </w:tcPr>
          <w:p>
            <w:pPr>
              <w:rPr>
                <w:sz w:val="2"/>
                <w:szCs w:val="2"/>
              </w:rPr>
            </w:pPr>
          </w:p>
        </w:tc>
        <w:tc>
          <w:tcPr>
            <w:tcW w:w="982" w:type="dxa"/>
            <w:vMerge w:val="restart"/>
          </w:tcPr>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满意度指标10 分</w:t>
            </w:r>
          </w:p>
        </w:tc>
        <w:tc>
          <w:tcPr>
            <w:tcW w:w="1215" w:type="dxa"/>
            <w:vMerge w:val="restart"/>
            <w:vAlign w:val="center"/>
          </w:tcPr>
          <w:p>
            <w:pPr>
              <w:pStyle w:val="9"/>
              <w:spacing w:before="68"/>
              <w:ind w:left="117"/>
              <w:jc w:val="center"/>
              <w:rPr>
                <w:rFonts w:ascii="宋体" w:hAnsi="宋体" w:eastAsia="宋体" w:cs="宋体"/>
                <w:kern w:val="2"/>
                <w:sz w:val="18"/>
                <w:szCs w:val="22"/>
                <w:lang w:val="zh-CN" w:eastAsia="zh-CN" w:bidi="zh-CN"/>
              </w:rPr>
            </w:pPr>
          </w:p>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服务对象满意度指标</w:t>
            </w:r>
          </w:p>
        </w:tc>
        <w:tc>
          <w:tcPr>
            <w:tcW w:w="1322" w:type="dxa"/>
            <w:gridSpan w:val="2"/>
            <w:vAlign w:val="center"/>
          </w:tcPr>
          <w:p>
            <w:pPr>
              <w:pStyle w:val="9"/>
              <w:spacing w:before="68"/>
              <w:ind w:left="117"/>
              <w:jc w:val="center"/>
              <w:rPr>
                <w:rFonts w:hint="eastAsia" w:ascii="宋体" w:hAnsi="宋体" w:eastAsia="宋体" w:cs="宋体"/>
                <w:kern w:val="2"/>
                <w:sz w:val="18"/>
                <w:szCs w:val="22"/>
                <w:lang w:val="zh-CN" w:eastAsia="zh-CN" w:bidi="zh-CN"/>
              </w:rPr>
            </w:pPr>
          </w:p>
        </w:tc>
        <w:tc>
          <w:tcPr>
            <w:tcW w:w="1732" w:type="dxa"/>
            <w:gridSpan w:val="2"/>
            <w:vAlign w:val="center"/>
          </w:tcPr>
          <w:p>
            <w:pPr>
              <w:pStyle w:val="9"/>
              <w:spacing w:before="68"/>
              <w:ind w:left="117"/>
              <w:jc w:val="center"/>
              <w:rPr>
                <w:rFonts w:ascii="宋体" w:hAnsi="宋体" w:eastAsia="宋体" w:cs="宋体"/>
                <w:kern w:val="2"/>
                <w:sz w:val="18"/>
                <w:szCs w:val="22"/>
                <w:lang w:val="zh-CN" w:eastAsia="zh-CN" w:bidi="zh-CN"/>
              </w:rPr>
            </w:pPr>
          </w:p>
        </w:tc>
        <w:tc>
          <w:tcPr>
            <w:tcW w:w="764" w:type="dxa"/>
            <w:vAlign w:val="center"/>
          </w:tcPr>
          <w:p>
            <w:pPr>
              <w:pStyle w:val="9"/>
              <w:spacing w:before="68"/>
              <w:ind w:left="117"/>
              <w:jc w:val="center"/>
              <w:rPr>
                <w:rFonts w:ascii="宋体" w:hAnsi="宋体" w:eastAsia="宋体" w:cs="宋体"/>
                <w:kern w:val="2"/>
                <w:sz w:val="18"/>
                <w:szCs w:val="22"/>
                <w:lang w:val="zh-CN" w:eastAsia="zh-CN" w:bidi="zh-CN"/>
              </w:rPr>
            </w:pPr>
          </w:p>
        </w:tc>
        <w:tc>
          <w:tcPr>
            <w:tcW w:w="681" w:type="dxa"/>
            <w:gridSpan w:val="2"/>
            <w:vAlign w:val="center"/>
          </w:tcPr>
          <w:p>
            <w:pPr>
              <w:pStyle w:val="9"/>
              <w:spacing w:before="68"/>
              <w:ind w:left="117"/>
              <w:jc w:val="center"/>
              <w:rPr>
                <w:rFonts w:ascii="宋体" w:hAnsi="宋体" w:eastAsia="宋体" w:cs="宋体"/>
                <w:kern w:val="2"/>
                <w:sz w:val="18"/>
                <w:szCs w:val="22"/>
                <w:lang w:val="zh-CN" w:eastAsia="zh-CN" w:bidi="zh-CN"/>
              </w:rPr>
            </w:pPr>
          </w:p>
        </w:tc>
        <w:tc>
          <w:tcPr>
            <w:tcW w:w="887" w:type="dxa"/>
            <w:gridSpan w:val="2"/>
            <w:vAlign w:val="center"/>
          </w:tcPr>
          <w:p>
            <w:pPr>
              <w:pStyle w:val="9"/>
              <w:spacing w:before="68"/>
              <w:ind w:left="117"/>
              <w:jc w:val="center"/>
              <w:rPr>
                <w:rFonts w:ascii="宋体" w:hAnsi="宋体" w:eastAsia="宋体" w:cs="宋体"/>
                <w:kern w:val="2"/>
                <w:sz w:val="18"/>
                <w:szCs w:val="22"/>
                <w:lang w:val="zh-CN" w:eastAsia="zh-CN" w:bidi="zh-CN"/>
              </w:rPr>
            </w:pP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Merge w:val="continue"/>
            <w:tcBorders>
              <w:top w:val="nil"/>
            </w:tcBorders>
            <w:vAlign w:val="center"/>
          </w:tcPr>
          <w:p>
            <w:pPr>
              <w:jc w:val="center"/>
              <w:rPr>
                <w:rFonts w:ascii="宋体" w:hAnsi="宋体" w:eastAsia="宋体" w:cs="宋体"/>
                <w:kern w:val="2"/>
                <w:sz w:val="18"/>
                <w:szCs w:val="22"/>
                <w:lang w:val="zh-CN" w:eastAsia="zh-CN" w:bidi="zh-CN"/>
              </w:rPr>
            </w:pPr>
          </w:p>
        </w:tc>
        <w:tc>
          <w:tcPr>
            <w:tcW w:w="1322" w:type="dxa"/>
            <w:gridSpan w:val="2"/>
            <w:vAlign w:val="center"/>
          </w:tcPr>
          <w:p>
            <w:pPr>
              <w:pStyle w:val="9"/>
              <w:spacing w:before="54" w:line="300" w:lineRule="atLeast"/>
              <w:ind w:left="112" w:right="49"/>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检测结果投诉率</w:t>
            </w:r>
          </w:p>
        </w:tc>
        <w:tc>
          <w:tcPr>
            <w:tcW w:w="1732" w:type="dxa"/>
            <w:gridSpan w:val="2"/>
            <w:vAlign w:val="center"/>
          </w:tcPr>
          <w:p>
            <w:pPr>
              <w:pStyle w:val="9"/>
              <w:spacing w:before="97"/>
              <w:ind w:left="71" w:right="56"/>
              <w:jc w:val="center"/>
              <w:rPr>
                <w:rFonts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≤2百分比</w:t>
            </w:r>
          </w:p>
        </w:tc>
        <w:tc>
          <w:tcPr>
            <w:tcW w:w="764" w:type="dxa"/>
            <w:vAlign w:val="center"/>
          </w:tcPr>
          <w:p>
            <w:pPr>
              <w:pStyle w:val="9"/>
              <w:ind w:right="229"/>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0</w:t>
            </w:r>
          </w:p>
        </w:tc>
        <w:tc>
          <w:tcPr>
            <w:tcW w:w="681" w:type="dxa"/>
            <w:gridSpan w:val="2"/>
            <w:vAlign w:val="center"/>
          </w:tcPr>
          <w:p>
            <w:pPr>
              <w:pStyle w:val="9"/>
              <w:ind w:left="20"/>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5</w:t>
            </w:r>
          </w:p>
        </w:tc>
        <w:tc>
          <w:tcPr>
            <w:tcW w:w="887" w:type="dxa"/>
            <w:gridSpan w:val="2"/>
            <w:vAlign w:val="center"/>
          </w:tcPr>
          <w:p>
            <w:pPr>
              <w:pStyle w:val="9"/>
              <w:ind w:left="17"/>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5</w:t>
            </w:r>
          </w:p>
        </w:tc>
        <w:tc>
          <w:tcPr>
            <w:tcW w:w="1063" w:type="dxa"/>
            <w:gridSpan w:val="2"/>
            <w:vAlign w:val="center"/>
          </w:tcPr>
          <w:p>
            <w:pPr>
              <w:pStyle w:val="9"/>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9" w:type="dxa"/>
            <w:vMerge w:val="continue"/>
            <w:tcBorders>
              <w:top w:val="nil"/>
            </w:tcBorders>
          </w:tcPr>
          <w:p>
            <w:pPr>
              <w:rPr>
                <w:sz w:val="2"/>
                <w:szCs w:val="2"/>
              </w:rPr>
            </w:pPr>
          </w:p>
        </w:tc>
        <w:tc>
          <w:tcPr>
            <w:tcW w:w="982" w:type="dxa"/>
            <w:vMerge w:val="continue"/>
            <w:tcBorders>
              <w:top w:val="nil"/>
            </w:tcBorders>
          </w:tcPr>
          <w:p>
            <w:pPr>
              <w:jc w:val="center"/>
              <w:rPr>
                <w:rFonts w:ascii="宋体" w:hAnsi="宋体" w:eastAsia="宋体" w:cs="宋体"/>
                <w:kern w:val="2"/>
                <w:sz w:val="18"/>
                <w:szCs w:val="22"/>
                <w:lang w:val="zh-CN" w:eastAsia="zh-CN" w:bidi="zh-CN"/>
              </w:rPr>
            </w:pPr>
          </w:p>
        </w:tc>
        <w:tc>
          <w:tcPr>
            <w:tcW w:w="1215" w:type="dxa"/>
            <w:vMerge w:val="continue"/>
            <w:tcBorders>
              <w:top w:val="nil"/>
            </w:tcBorders>
          </w:tcPr>
          <w:p>
            <w:pPr>
              <w:jc w:val="center"/>
              <w:rPr>
                <w:rFonts w:ascii="宋体" w:hAnsi="宋体" w:eastAsia="宋体" w:cs="宋体"/>
                <w:kern w:val="2"/>
                <w:sz w:val="18"/>
                <w:szCs w:val="22"/>
                <w:lang w:val="zh-CN" w:eastAsia="zh-CN" w:bidi="zh-CN"/>
              </w:rPr>
            </w:pPr>
          </w:p>
        </w:tc>
        <w:tc>
          <w:tcPr>
            <w:tcW w:w="1322" w:type="dxa"/>
            <w:gridSpan w:val="2"/>
          </w:tcPr>
          <w:p>
            <w:pPr>
              <w:pStyle w:val="9"/>
              <w:spacing w:before="33"/>
              <w:ind w:left="112"/>
              <w:jc w:val="center"/>
              <w:rPr>
                <w:rFonts w:hint="eastAsia"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服务对象满意度</w:t>
            </w:r>
          </w:p>
        </w:tc>
        <w:tc>
          <w:tcPr>
            <w:tcW w:w="1732" w:type="dxa"/>
            <w:gridSpan w:val="2"/>
          </w:tcPr>
          <w:p>
            <w:pPr>
              <w:pStyle w:val="9"/>
              <w:spacing w:before="97"/>
              <w:ind w:left="71" w:right="56"/>
              <w:jc w:val="center"/>
              <w:rPr>
                <w:rFonts w:ascii="宋体" w:hAnsi="宋体" w:eastAsia="宋体" w:cs="宋体"/>
                <w:kern w:val="2"/>
                <w:sz w:val="18"/>
                <w:szCs w:val="22"/>
                <w:lang w:val="zh-CN" w:eastAsia="zh-CN" w:bidi="zh-CN"/>
              </w:rPr>
            </w:pPr>
            <w:r>
              <w:rPr>
                <w:rFonts w:hint="eastAsia" w:ascii="宋体" w:hAnsi="宋体" w:eastAsia="宋体" w:cs="宋体"/>
                <w:kern w:val="2"/>
                <w:sz w:val="18"/>
                <w:szCs w:val="22"/>
                <w:lang w:val="zh-CN" w:eastAsia="zh-CN" w:bidi="zh-CN"/>
              </w:rPr>
              <w:t>≥98百分比</w:t>
            </w:r>
          </w:p>
        </w:tc>
        <w:tc>
          <w:tcPr>
            <w:tcW w:w="764" w:type="dxa"/>
          </w:tcPr>
          <w:p>
            <w:pPr>
              <w:pStyle w:val="9"/>
              <w:spacing w:before="67"/>
              <w:ind w:right="229"/>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681" w:type="dxa"/>
            <w:gridSpan w:val="2"/>
          </w:tcPr>
          <w:p>
            <w:pPr>
              <w:pStyle w:val="9"/>
              <w:spacing w:before="67"/>
              <w:ind w:left="20"/>
              <w:jc w:val="center"/>
              <w:rPr>
                <w:rFonts w:hint="eastAsia"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5</w:t>
            </w:r>
          </w:p>
        </w:tc>
        <w:tc>
          <w:tcPr>
            <w:tcW w:w="887" w:type="dxa"/>
            <w:gridSpan w:val="2"/>
          </w:tcPr>
          <w:p>
            <w:pPr>
              <w:pStyle w:val="9"/>
              <w:spacing w:before="67"/>
              <w:ind w:left="17"/>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5</w:t>
            </w:r>
          </w:p>
        </w:tc>
        <w:tc>
          <w:tcPr>
            <w:tcW w:w="1063"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6604" w:type="dxa"/>
            <w:gridSpan w:val="8"/>
          </w:tcPr>
          <w:p>
            <w:pPr>
              <w:pStyle w:val="9"/>
              <w:spacing w:before="68"/>
              <w:ind w:left="117"/>
              <w:jc w:val="center"/>
              <w:rPr>
                <w:rFonts w:ascii="宋体" w:hAnsi="宋体" w:eastAsia="宋体" w:cs="宋体"/>
                <w:kern w:val="2"/>
                <w:sz w:val="18"/>
                <w:szCs w:val="22"/>
                <w:lang w:val="zh-CN" w:eastAsia="zh-CN" w:bidi="zh-CN"/>
              </w:rPr>
            </w:pPr>
            <w:r>
              <w:rPr>
                <w:rFonts w:ascii="宋体" w:hAnsi="宋体" w:eastAsia="宋体" w:cs="宋体"/>
                <w:kern w:val="2"/>
                <w:sz w:val="18"/>
                <w:szCs w:val="22"/>
                <w:lang w:val="zh-CN" w:eastAsia="zh-CN" w:bidi="zh-CN"/>
              </w:rPr>
              <w:t>总分</w:t>
            </w:r>
          </w:p>
        </w:tc>
        <w:tc>
          <w:tcPr>
            <w:tcW w:w="681" w:type="dxa"/>
            <w:gridSpan w:val="2"/>
          </w:tcPr>
          <w:p>
            <w:pPr>
              <w:pStyle w:val="9"/>
              <w:spacing w:before="97"/>
              <w:ind w:left="71" w:right="5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887" w:type="dxa"/>
            <w:gridSpan w:val="2"/>
          </w:tcPr>
          <w:p>
            <w:pPr>
              <w:pStyle w:val="9"/>
              <w:spacing w:before="97"/>
              <w:ind w:left="71" w:right="56"/>
              <w:jc w:val="center"/>
              <w:rPr>
                <w:rFonts w:hint="default" w:ascii="宋体" w:hAnsi="宋体" w:eastAsia="宋体" w:cs="宋体"/>
                <w:kern w:val="2"/>
                <w:sz w:val="18"/>
                <w:szCs w:val="22"/>
                <w:lang w:val="en-US" w:eastAsia="zh-CN" w:bidi="zh-CN"/>
              </w:rPr>
            </w:pPr>
            <w:r>
              <w:rPr>
                <w:rFonts w:hint="eastAsia" w:ascii="宋体" w:hAnsi="宋体" w:eastAsia="宋体" w:cs="宋体"/>
                <w:kern w:val="2"/>
                <w:sz w:val="18"/>
                <w:szCs w:val="22"/>
                <w:lang w:val="en-US" w:eastAsia="zh-CN" w:bidi="zh-CN"/>
              </w:rPr>
              <w:t>100</w:t>
            </w:r>
          </w:p>
        </w:tc>
        <w:tc>
          <w:tcPr>
            <w:tcW w:w="1063" w:type="dxa"/>
            <w:gridSpan w:val="2"/>
          </w:tcPr>
          <w:p>
            <w:pPr>
              <w:pStyle w:val="9"/>
              <w:spacing w:before="97"/>
              <w:ind w:left="71" w:right="56"/>
              <w:jc w:val="center"/>
              <w:rPr>
                <w:rFonts w:hint="eastAsia" w:ascii="宋体" w:hAnsi="宋体" w:eastAsia="宋体" w:cs="宋体"/>
                <w:kern w:val="2"/>
                <w:sz w:val="18"/>
                <w:szCs w:val="22"/>
                <w:lang w:val="zh-CN" w:eastAsia="zh-CN" w:bidi="zh-CN"/>
              </w:rPr>
            </w:pPr>
          </w:p>
        </w:tc>
      </w:tr>
    </w:tbl>
    <w:p>
      <w:pPr>
        <w:pBdr>
          <w:bottom w:val="single" w:color="FFFFFF" w:sz="4" w:space="31"/>
        </w:pBdr>
        <w:adjustRightInd w:val="0"/>
        <w:snapToGrid w:val="0"/>
        <w:spacing w:line="60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（三）财政评价项目绩效评价结果</w:t>
      </w:r>
      <w:r>
        <w:rPr>
          <w:rFonts w:hint="eastAsia" w:ascii="仿宋_GB2312" w:hAnsi="仿宋_GB2312" w:eastAsia="仿宋_GB2312" w:cs="仿宋_GB2312"/>
          <w:b/>
          <w:bCs/>
          <w:sz w:val="32"/>
          <w:szCs w:val="32"/>
          <w:lang w:val="en-US" w:eastAsia="zh-CN"/>
        </w:rPr>
        <w:t xml:space="preserve"> ：  无</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ascii="仿宋_GB2312" w:hAnsi="仿宋_GB2312" w:eastAsia="仿宋_GB2312" w:cs="仿宋_GB2312"/>
          <w:sz w:val="32"/>
          <w:szCs w:val="32"/>
        </w:rPr>
      </w:pPr>
      <w:r>
        <w:rPr>
          <w:rFonts w:hint="eastAsia" w:ascii="黑体" w:hAnsi="Calibri" w:eastAsia="黑体" w:cs="Times New Roman"/>
          <w:sz w:val="32"/>
          <w:szCs w:val="32"/>
          <w:lang w:val="en-US" w:eastAsia="zh-CN"/>
        </w:rPr>
        <w:t xml:space="preserve">    </w:t>
      </w:r>
      <w:r>
        <w:rPr>
          <w:rFonts w:hint="eastAsia" w:ascii="黑体" w:hAnsi="Calibri" w:eastAsia="黑体" w:cs="Times New Roman"/>
          <w:sz w:val="32"/>
          <w:szCs w:val="32"/>
        </w:rPr>
        <w:t>七、机关运行经费情况</w:t>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lang w:eastAsia="zh-CN"/>
        </w:rPr>
      </w:pPr>
      <w:r>
        <w:rPr>
          <w:rFonts w:hint="eastAsia" w:ascii="仿宋_GB2312" w:hAnsi="Times New Roman" w:eastAsia="仿宋_GB2312" w:cs="DengXian-Regular"/>
          <w:sz w:val="32"/>
          <w:szCs w:val="32"/>
          <w:highlight w:val="none"/>
          <w:lang w:eastAsia="zh-CN"/>
        </w:rPr>
        <w:t>我单位为</w:t>
      </w:r>
      <w:r>
        <w:rPr>
          <w:rFonts w:hint="eastAsia" w:ascii="仿宋_GB2312" w:hAnsi="Times New Roman" w:eastAsia="仿宋_GB2312" w:cs="DengXian-Regular"/>
          <w:sz w:val="32"/>
          <w:szCs w:val="32"/>
          <w:highlight w:val="none"/>
        </w:rPr>
        <w:t>事业单位无机关运行经费</w:t>
      </w:r>
      <w:r>
        <w:rPr>
          <w:rFonts w:hint="eastAsia" w:ascii="仿宋_GB2312" w:hAnsi="Times New Roman" w:eastAsia="仿宋_GB2312" w:cs="DengXian-Regular"/>
          <w:sz w:val="32"/>
          <w:szCs w:val="32"/>
          <w:highlight w:val="none"/>
          <w:lang w:eastAsia="zh-CN"/>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highlight w:val="none"/>
        </w:rPr>
        <w:t>本部门2021年度政府采购支出总额</w:t>
      </w:r>
      <w:r>
        <w:rPr>
          <w:rFonts w:hint="eastAsia" w:ascii="仿宋_GB2312" w:hAnsi="Times New Roman" w:eastAsia="仿宋_GB2312" w:cs="DengXian-Regular"/>
          <w:sz w:val="32"/>
          <w:szCs w:val="32"/>
          <w:highlight w:val="none"/>
          <w:lang w:val="en-US" w:eastAsia="zh-CN"/>
        </w:rPr>
        <w:t>2.48</w:t>
      </w:r>
      <w:r>
        <w:rPr>
          <w:rFonts w:hint="eastAsia" w:ascii="仿宋_GB2312" w:hAnsi="Times New Roman" w:eastAsia="仿宋_GB2312" w:cs="DengXian-Regular"/>
          <w:sz w:val="32"/>
          <w:szCs w:val="32"/>
          <w:highlight w:val="none"/>
        </w:rPr>
        <w:t>万元，从采购类型来看，</w:t>
      </w:r>
      <w:r>
        <w:rPr>
          <w:rFonts w:ascii="仿宋_GB2312" w:hAnsi="仿宋_GB2312" w:eastAsia="仿宋_GB2312" w:cs="仿宋_GB2312"/>
          <w:color w:val="000000"/>
          <w:kern w:val="0"/>
          <w:sz w:val="32"/>
          <w:szCs w:val="32"/>
          <w:highlight w:val="none"/>
          <w:lang w:bidi="ar"/>
        </w:rPr>
        <w:t>政府采购货物支出</w:t>
      </w:r>
      <w:r>
        <w:rPr>
          <w:rFonts w:hint="eastAsia" w:ascii="仿宋_GB2312" w:hAnsi="仿宋_GB2312" w:eastAsia="仿宋_GB2312" w:cs="仿宋_GB2312"/>
          <w:color w:val="000000"/>
          <w:kern w:val="0"/>
          <w:sz w:val="32"/>
          <w:szCs w:val="32"/>
          <w:highlight w:val="none"/>
          <w:lang w:val="en-US" w:eastAsia="zh-CN" w:bidi="ar"/>
        </w:rPr>
        <w:t>2.48</w:t>
      </w:r>
      <w:r>
        <w:rPr>
          <w:rFonts w:ascii="仿宋_GB2312" w:hAnsi="仿宋_GB2312" w:eastAsia="仿宋_GB2312" w:cs="仿宋_GB2312"/>
          <w:color w:val="000000"/>
          <w:kern w:val="0"/>
          <w:sz w:val="32"/>
          <w:szCs w:val="32"/>
          <w:highlight w:val="none"/>
          <w:lang w:bidi="ar"/>
        </w:rPr>
        <w:t>万元、政府采购工程支出</w:t>
      </w:r>
      <w:r>
        <w:rPr>
          <w:rFonts w:hint="eastAsia" w:ascii="仿宋_GB2312" w:hAnsi="仿宋_GB2312" w:eastAsia="仿宋_GB2312" w:cs="仿宋_GB2312"/>
          <w:color w:val="000000"/>
          <w:kern w:val="0"/>
          <w:sz w:val="32"/>
          <w:szCs w:val="32"/>
          <w:highlight w:val="none"/>
          <w:lang w:val="en-US" w:eastAsia="zh-CN" w:bidi="ar"/>
        </w:rPr>
        <w:t>0</w:t>
      </w:r>
      <w:r>
        <w:rPr>
          <w:rFonts w:ascii="仿宋_GB2312" w:hAnsi="仿宋_GB2312" w:eastAsia="仿宋_GB2312" w:cs="仿宋_GB2312"/>
          <w:color w:val="000000"/>
          <w:kern w:val="0"/>
          <w:sz w:val="32"/>
          <w:szCs w:val="32"/>
          <w:highlight w:val="none"/>
          <w:lang w:bidi="ar"/>
        </w:rPr>
        <w:t>万元、政府采购服务支出</w:t>
      </w:r>
      <w:r>
        <w:rPr>
          <w:rFonts w:hint="eastAsia" w:ascii="仿宋_GB2312" w:hAnsi="仿宋_GB2312" w:eastAsia="仿宋_GB2312" w:cs="仿宋_GB2312"/>
          <w:color w:val="000000"/>
          <w:kern w:val="0"/>
          <w:sz w:val="32"/>
          <w:szCs w:val="32"/>
          <w:highlight w:val="none"/>
          <w:lang w:val="en-US" w:eastAsia="zh-CN" w:bidi="ar"/>
        </w:rPr>
        <w:t>0</w:t>
      </w:r>
      <w:r>
        <w:rPr>
          <w:rFonts w:ascii="仿宋_GB2312" w:hAnsi="仿宋_GB2312" w:eastAsia="仿宋_GB2312" w:cs="仿宋_GB2312"/>
          <w:color w:val="000000"/>
          <w:kern w:val="0"/>
          <w:sz w:val="32"/>
          <w:szCs w:val="32"/>
          <w:highlight w:val="none"/>
          <w:lang w:bidi="ar"/>
        </w:rPr>
        <w:t>万元。授予中小企业合同</w:t>
      </w:r>
      <w:r>
        <w:rPr>
          <w:rFonts w:ascii="仿宋_GB2312" w:hAnsi="仿宋_GB2312" w:eastAsia="仿宋_GB2312" w:cs="仿宋_GB2312"/>
          <w:color w:val="000000"/>
          <w:kern w:val="0"/>
          <w:sz w:val="32"/>
          <w:szCs w:val="32"/>
          <w:lang w:bidi="ar"/>
        </w:rPr>
        <w:t>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截至2021年12月31日，本部门共有车辆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辆，与上年度持平。其中，副部（省）级及以上领导用车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台（套），与上年度持平 ，单位价值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比与上年度持平。</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 2021 年度未发生政府性基金预算、国有资金经营 预算收支及结转结余情况，故政府性基金预算财政拨款收入支出决 算表、国有资本经营预算财政拨款支出决算表以空表列示。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both"/>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ind w:firstLine="2560" w:firstLineChars="800"/>
        <w:jc w:val="both"/>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仿宋_GB2312" w:hAnsi="宋体" w:eastAsia="仿宋_GB2312" w:cs="Times New Roman"/>
          <w:color w:val="000000"/>
          <w:kern w:val="0"/>
          <w:sz w:val="32"/>
          <w:szCs w:val="32"/>
        </w:rPr>
        <w:drawing>
          <wp:anchor distT="0" distB="0" distL="114300" distR="114300" simplePos="0" relativeHeight="251670528" behindDoc="0" locked="0" layoutInCell="1" allowOverlap="1">
            <wp:simplePos x="0" y="0"/>
            <wp:positionH relativeFrom="column">
              <wp:posOffset>819150</wp:posOffset>
            </wp:positionH>
            <wp:positionV relativeFrom="margin">
              <wp:posOffset>-60325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20"/>
                    <a:stretch>
                      <a:fillRect/>
                    </a:stretch>
                  </pic:blipFill>
                  <pic:spPr>
                    <a:xfrm>
                      <a:off x="0" y="0"/>
                      <a:ext cx="640080" cy="640080"/>
                    </a:xfrm>
                    <a:prstGeom prst="rect">
                      <a:avLst/>
                    </a:prstGeom>
                  </pic:spPr>
                </pic:pic>
              </a:graphicData>
            </a:graphic>
          </wp:anchor>
        </w:drawing>
      </w: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思源黑体 CN Heavy">
    <w:altName w:val="宋体"/>
    <w:panose1 w:val="00000000000000000000"/>
    <w:charset w:val="86"/>
    <w:family w:val="swiss"/>
    <w:pitch w:val="default"/>
    <w:sig w:usb0="00000000" w:usb1="00000000" w:usb2="00000016" w:usb3="00000000" w:csb0="00060107" w:csb1="00000000"/>
  </w:font>
  <w:font w:name="思源黑体 CN Bold">
    <w:altName w:val="宋体"/>
    <w:panose1 w:val="00000000000000000000"/>
    <w:charset w:val="86"/>
    <w:family w:val="swiss"/>
    <w:pitch w:val="default"/>
    <w:sig w:usb0="00000000" w:usb1="00000000" w:usb2="00000016" w:usb3="00000000" w:csb0="00060107"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zUsImhkaWQiOiI2MTQ3ZmU5MmQxZTBlZmRlMjlmZTRhZGQ0OGQxMTY3NCIsInVzZXJDb3VudCI6MX0="/>
  </w:docVars>
  <w:rsids>
    <w:rsidRoot w:val="00172A27"/>
    <w:rsid w:val="000031F7"/>
    <w:rsid w:val="00014862"/>
    <w:rsid w:val="00172A27"/>
    <w:rsid w:val="004550B9"/>
    <w:rsid w:val="0051575E"/>
    <w:rsid w:val="005B2633"/>
    <w:rsid w:val="00663586"/>
    <w:rsid w:val="007B4464"/>
    <w:rsid w:val="00896712"/>
    <w:rsid w:val="008E5668"/>
    <w:rsid w:val="009718A8"/>
    <w:rsid w:val="00A66109"/>
    <w:rsid w:val="00B86E38"/>
    <w:rsid w:val="00C21492"/>
    <w:rsid w:val="00C418F5"/>
    <w:rsid w:val="00CE4C2D"/>
    <w:rsid w:val="00CE755E"/>
    <w:rsid w:val="00D264B9"/>
    <w:rsid w:val="00DA0B17"/>
    <w:rsid w:val="00DF42C4"/>
    <w:rsid w:val="00DF688D"/>
    <w:rsid w:val="00E669B9"/>
    <w:rsid w:val="00E86E79"/>
    <w:rsid w:val="00FC3F68"/>
    <w:rsid w:val="018E53BB"/>
    <w:rsid w:val="01B752BF"/>
    <w:rsid w:val="02522953"/>
    <w:rsid w:val="02F2691F"/>
    <w:rsid w:val="03A969E1"/>
    <w:rsid w:val="05273E55"/>
    <w:rsid w:val="064424ED"/>
    <w:rsid w:val="06EB1AB6"/>
    <w:rsid w:val="099D6B31"/>
    <w:rsid w:val="09FD66D9"/>
    <w:rsid w:val="0A103AD0"/>
    <w:rsid w:val="0B8B4E49"/>
    <w:rsid w:val="0E580FBF"/>
    <w:rsid w:val="10B242CF"/>
    <w:rsid w:val="11DE6CD0"/>
    <w:rsid w:val="11F4604E"/>
    <w:rsid w:val="136D16FB"/>
    <w:rsid w:val="13AA21BF"/>
    <w:rsid w:val="16F20A3A"/>
    <w:rsid w:val="1959010D"/>
    <w:rsid w:val="1996709C"/>
    <w:rsid w:val="19AE61EC"/>
    <w:rsid w:val="1A3D2C72"/>
    <w:rsid w:val="1B844DE8"/>
    <w:rsid w:val="1CAC06B2"/>
    <w:rsid w:val="1FEF1ECF"/>
    <w:rsid w:val="216937C4"/>
    <w:rsid w:val="21807475"/>
    <w:rsid w:val="24C525F3"/>
    <w:rsid w:val="259F1096"/>
    <w:rsid w:val="294B6B6C"/>
    <w:rsid w:val="298605CB"/>
    <w:rsid w:val="2B5D1F00"/>
    <w:rsid w:val="2CEF036C"/>
    <w:rsid w:val="32A31C4C"/>
    <w:rsid w:val="32B53CA7"/>
    <w:rsid w:val="32CF783B"/>
    <w:rsid w:val="32F673C9"/>
    <w:rsid w:val="33CD2241"/>
    <w:rsid w:val="342108C7"/>
    <w:rsid w:val="34251FAE"/>
    <w:rsid w:val="34967CFD"/>
    <w:rsid w:val="39C2416B"/>
    <w:rsid w:val="3B744E3E"/>
    <w:rsid w:val="3BAE05D2"/>
    <w:rsid w:val="3C4819A3"/>
    <w:rsid w:val="3DC91A1B"/>
    <w:rsid w:val="3F062F70"/>
    <w:rsid w:val="3F235BB1"/>
    <w:rsid w:val="3F663581"/>
    <w:rsid w:val="42A44BF6"/>
    <w:rsid w:val="4513749F"/>
    <w:rsid w:val="45217DD8"/>
    <w:rsid w:val="4571549B"/>
    <w:rsid w:val="471274FD"/>
    <w:rsid w:val="49717ADD"/>
    <w:rsid w:val="49DD31D7"/>
    <w:rsid w:val="49E9558D"/>
    <w:rsid w:val="4A51609B"/>
    <w:rsid w:val="4AED6BC6"/>
    <w:rsid w:val="4C194D3B"/>
    <w:rsid w:val="4D304C6C"/>
    <w:rsid w:val="4E441482"/>
    <w:rsid w:val="4E8924AA"/>
    <w:rsid w:val="4EEA470C"/>
    <w:rsid w:val="4F2A6A41"/>
    <w:rsid w:val="4FBC6A80"/>
    <w:rsid w:val="500373A2"/>
    <w:rsid w:val="51CF6B7F"/>
    <w:rsid w:val="53AD746D"/>
    <w:rsid w:val="561769D4"/>
    <w:rsid w:val="56AC73CE"/>
    <w:rsid w:val="577A2BC3"/>
    <w:rsid w:val="57CE3388"/>
    <w:rsid w:val="58D844B0"/>
    <w:rsid w:val="59DE0522"/>
    <w:rsid w:val="5A842A94"/>
    <w:rsid w:val="5AB64FC7"/>
    <w:rsid w:val="5E6427D4"/>
    <w:rsid w:val="5F4A1A8C"/>
    <w:rsid w:val="60075621"/>
    <w:rsid w:val="602001C2"/>
    <w:rsid w:val="60CE32E1"/>
    <w:rsid w:val="626F35C2"/>
    <w:rsid w:val="63A07D3E"/>
    <w:rsid w:val="64C00985"/>
    <w:rsid w:val="65225D26"/>
    <w:rsid w:val="65DB5CBA"/>
    <w:rsid w:val="66693DD5"/>
    <w:rsid w:val="674E6C15"/>
    <w:rsid w:val="67636EEB"/>
    <w:rsid w:val="697609B2"/>
    <w:rsid w:val="69F4671F"/>
    <w:rsid w:val="6A627018"/>
    <w:rsid w:val="6C4331AB"/>
    <w:rsid w:val="6CBF282C"/>
    <w:rsid w:val="6E1138AE"/>
    <w:rsid w:val="6EC759B4"/>
    <w:rsid w:val="6FEA2CF2"/>
    <w:rsid w:val="70347787"/>
    <w:rsid w:val="70433998"/>
    <w:rsid w:val="71AB729D"/>
    <w:rsid w:val="727F3D7E"/>
    <w:rsid w:val="72A252EE"/>
    <w:rsid w:val="73335BEE"/>
    <w:rsid w:val="734B3BFA"/>
    <w:rsid w:val="73753308"/>
    <w:rsid w:val="76947814"/>
    <w:rsid w:val="777B42FC"/>
    <w:rsid w:val="79442C5B"/>
    <w:rsid w:val="7BB011B5"/>
    <w:rsid w:val="7C2A2F43"/>
    <w:rsid w:val="7CD94836"/>
    <w:rsid w:val="7DB44519"/>
    <w:rsid w:val="7E08020E"/>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jc w:val="center"/>
    </w:pPr>
    <w:rPr>
      <w:rFonts w:ascii="Times New Roman" w:hAnsi="Times New Roman" w:eastAsia="Times New Roman"/>
      <w:b/>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26446;&#32418;&#34122;&#25991;&#20214;\&#34892;&#25919;&#20107;&#19994;&#21333;&#20301;&#36164;&#26009;\2021&#24180;&#20915;&#31639;&#20844;&#24320;\&#22270;&#22411;(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26446;&#32418;&#34122;&#25991;&#20214;\&#34892;&#25919;&#20107;&#19994;&#21333;&#20301;&#36164;&#26009;\2021&#24180;&#20915;&#31639;&#20844;&#24320;\&#22270;&#224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收支总计</a:t>
            </a:r>
            <a:endParaRPr altLang="zh-CN"/>
          </a:p>
        </c:rich>
      </c:tx>
      <c:layout>
        <c:manualLayout>
          <c:xMode val="edge"/>
          <c:yMode val="edge"/>
          <c:x val="0.406771870690976"/>
          <c:y val="0.03960918933192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2021年收支</c:v>
                </c:pt>
                <c:pt idx="1">
                  <c:v>2020年收支</c:v>
                </c:pt>
              </c:strCache>
            </c:strRef>
          </c:cat>
          <c:val>
            <c:numRef>
              <c:f>Sheet1!$B$2:$B$3</c:f>
              <c:numCache>
                <c:formatCode>General</c:formatCode>
                <c:ptCount val="2"/>
                <c:pt idx="0">
                  <c:v>173.57</c:v>
                </c:pt>
                <c:pt idx="1">
                  <c:v>134.3</c:v>
                </c:pt>
              </c:numCache>
            </c:numRef>
          </c:val>
        </c:ser>
        <c:dLbls>
          <c:showLegendKey val="0"/>
          <c:showVal val="1"/>
          <c:showCatName val="0"/>
          <c:showSerName val="0"/>
          <c:showPercent val="0"/>
          <c:showBubbleSize val="0"/>
        </c:dLbls>
        <c:gapWidth val="219"/>
        <c:overlap val="-27"/>
        <c:axId val="50975873"/>
        <c:axId val="379560398"/>
      </c:barChart>
      <c:catAx>
        <c:axId val="509758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9560398"/>
        <c:crosses val="autoZero"/>
        <c:auto val="1"/>
        <c:lblAlgn val="ctr"/>
        <c:lblOffset val="100"/>
        <c:noMultiLvlLbl val="0"/>
      </c:catAx>
      <c:valAx>
        <c:axId val="379560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9758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收入决算构成说明</a:t>
            </a: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dLbl>
              <c:idx val="0"/>
              <c:layout>
                <c:manualLayout>
                  <c:x val="-0.0961538461538462"/>
                  <c:y val="-0.18446601941747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586704607147537"/>
                  <c:y val="0.16012330805754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Sheet1!$A$4:$B$4</c:f>
              <c:strCache>
                <c:ptCount val="2"/>
                <c:pt idx="0">
                  <c:v>财政拨款收入</c:v>
                </c:pt>
                <c:pt idx="1">
                  <c:v>其他收入</c:v>
                </c:pt>
              </c:strCache>
            </c:strRef>
          </c:cat>
          <c:val>
            <c:numRef>
              <c:f>Sheet1!$A$5:$B$5</c:f>
              <c:numCache>
                <c:formatCode>#,##0.00</c:formatCode>
                <c:ptCount val="2"/>
                <c:pt idx="0">
                  <c:v>151.2</c:v>
                </c:pt>
                <c:pt idx="1" c:formatCode="General">
                  <c:v>1.37</c:v>
                </c:pt>
              </c:numCache>
            </c:numRef>
          </c:val>
        </c:ser>
        <c:dLbls>
          <c:showLegendKey val="0"/>
          <c:showVal val="0"/>
          <c:showCatName val="1"/>
          <c:showSerName val="0"/>
          <c:showPercent val="1"/>
          <c:showBubbleSize val="0"/>
          <c:showLeaderLines val="1"/>
        </c:dLbls>
        <c:firstSliceAng val="15"/>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支出决算构成情况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96.01</c:v>
                </c:pt>
                <c:pt idx="1">
                  <c:v>25.03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财政拨款收支对比情况</a:t>
            </a:r>
          </a:p>
        </c:rich>
      </c:tx>
      <c:layout>
        <c:manualLayout>
          <c:xMode val="edge"/>
          <c:yMode val="edge"/>
          <c:x val="0.285353148460242"/>
          <c:y val="0.0316873514655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manualLayout>
                  <c:x val="-0.00689443848628773"/>
                  <c:y val="-0.099022973329812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48363473322373"/>
                  <c:y val="-0.10380622837370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48363473322373"/>
                  <c:y val="-0.10380622837370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24181736661187"/>
                  <c:y val="-0.10380622837370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2021年收入</c:v>
                </c:pt>
                <c:pt idx="1">
                  <c:v>2020年收入</c:v>
                </c:pt>
                <c:pt idx="2">
                  <c:v>2021年支出</c:v>
                </c:pt>
                <c:pt idx="3">
                  <c:v>2020年支出</c:v>
                </c:pt>
              </c:strCache>
            </c:strRef>
          </c:cat>
          <c:val>
            <c:numRef>
              <c:f>Sheet1!$B$2:$B$5</c:f>
              <c:numCache>
                <c:formatCode>General</c:formatCode>
                <c:ptCount val="4"/>
                <c:pt idx="0">
                  <c:v>151.2</c:v>
                </c:pt>
                <c:pt idx="1">
                  <c:v>97.16</c:v>
                </c:pt>
                <c:pt idx="2">
                  <c:v>121.01</c:v>
                </c:pt>
                <c:pt idx="3">
                  <c:v>101.62</c:v>
                </c:pt>
              </c:numCache>
            </c:numRef>
          </c:val>
        </c:ser>
        <c:dLbls>
          <c:showLegendKey val="0"/>
          <c:showVal val="1"/>
          <c:showCatName val="0"/>
          <c:showSerName val="0"/>
          <c:showPercent val="0"/>
          <c:showBubbleSize val="0"/>
        </c:dLbls>
        <c:gapWidth val="219"/>
        <c:overlap val="-27"/>
        <c:axId val="50975873"/>
        <c:axId val="379560398"/>
      </c:barChart>
      <c:catAx>
        <c:axId val="509758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9560398"/>
        <c:crosses val="autoZero"/>
        <c:auto val="1"/>
        <c:lblAlgn val="ctr"/>
        <c:lblOffset val="100"/>
        <c:noMultiLvlLbl val="0"/>
      </c:catAx>
      <c:valAx>
        <c:axId val="379560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97587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财政拨款收支与年初预算数对比图</a:t>
            </a:r>
          </a:p>
        </c:rich>
      </c:tx>
      <c:layout>
        <c:manualLayout>
          <c:xMode val="edge"/>
          <c:yMode val="edge"/>
          <c:x val="0.138271794086104"/>
          <c:y val="0.03168735146554"/>
        </c:manualLayout>
      </c:layout>
      <c:overlay val="0"/>
      <c:spPr>
        <a:noFill/>
        <a:ln>
          <a:noFill/>
        </a:ln>
        <a:effectLst/>
      </c:spPr>
    </c:title>
    <c:autoTitleDeleted val="0"/>
    <c:plotArea>
      <c:layout>
        <c:manualLayout>
          <c:layoutTarget val="inner"/>
          <c:xMode val="edge"/>
          <c:yMode val="edge"/>
          <c:x val="0.10320208365252"/>
          <c:y val="0.221547398996568"/>
          <c:w val="0.883775088095603"/>
          <c:h val="0.658938473725904"/>
        </c:manualLayout>
      </c:layout>
      <c:barChart>
        <c:barDir val="col"/>
        <c:grouping val="clustered"/>
        <c:varyColors val="0"/>
        <c:ser>
          <c:idx val="0"/>
          <c:order val="0"/>
          <c:tx>
            <c:strRef>
              <c:f>Sheet1!$B$1</c:f>
              <c:strCache>
                <c:ptCount val="1"/>
                <c:pt idx="0">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00229814616209591"/>
                  <c:y val="-0.10298389226300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1882756799577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29814616209591"/>
                  <c:y val="-0.10298389226300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99022973329812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收入决算数</c:v>
                </c:pt>
                <c:pt idx="1">
                  <c:v>收入预算数</c:v>
                </c:pt>
                <c:pt idx="2">
                  <c:v>支出决算数</c:v>
                </c:pt>
                <c:pt idx="3">
                  <c:v>支出预算数</c:v>
                </c:pt>
              </c:strCache>
            </c:strRef>
          </c:cat>
          <c:val>
            <c:numRef>
              <c:f>Sheet1!$B$2:$B$5</c:f>
              <c:numCache>
                <c:formatCode>General</c:formatCode>
                <c:ptCount val="4"/>
                <c:pt idx="0">
                  <c:v>151.2</c:v>
                </c:pt>
                <c:pt idx="1">
                  <c:v>129.65</c:v>
                </c:pt>
                <c:pt idx="2">
                  <c:v>121.01</c:v>
                </c:pt>
                <c:pt idx="3">
                  <c:v>129.65</c:v>
                </c:pt>
              </c:numCache>
            </c:numRef>
          </c:val>
        </c:ser>
        <c:ser>
          <c:idx val="1"/>
          <c:order val="1"/>
          <c:tx>
            <c:strRef>
              <c:f>Sheet1!#REF!</c:f>
              <c:strCache>
                <c:ptCount val="1"/>
                <c:pt idx="0">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Sheet1!$A$2:$A$5</c:f>
              <c:strCache>
                <c:ptCount val="4"/>
                <c:pt idx="0">
                  <c:v>收入决算数</c:v>
                </c:pt>
                <c:pt idx="1">
                  <c:v>收入预算数</c:v>
                </c:pt>
                <c:pt idx="2">
                  <c:v>支出决算数</c:v>
                </c:pt>
                <c:pt idx="3">
                  <c:v>支出预算数</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Sheet1!$A$2:$A$5</c:f>
              <c:strCache>
                <c:ptCount val="4"/>
                <c:pt idx="0">
                  <c:v>收入决算数</c:v>
                </c:pt>
                <c:pt idx="1">
                  <c:v>收入预算数</c:v>
                </c:pt>
                <c:pt idx="2">
                  <c:v>支出决算数</c:v>
                </c:pt>
                <c:pt idx="3">
                  <c:v>支出预算数</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100"/>
        <c:overlap val="-24"/>
        <c:axId val="50975873"/>
        <c:axId val="379560398"/>
      </c:barChart>
      <c:catAx>
        <c:axId val="50975873"/>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9560398"/>
        <c:crosses val="autoZero"/>
        <c:auto val="1"/>
        <c:lblAlgn val="ctr"/>
        <c:lblOffset val="100"/>
        <c:noMultiLvlLbl val="0"/>
      </c:catAx>
      <c:valAx>
        <c:axId val="379560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97587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dPt>
          <c:dLbls>
            <c:dLbl>
              <c:idx val="0"/>
              <c:layout>
                <c:manualLayout>
                  <c:x val="-0.0562500000000007"/>
                  <c:y val="0.041666666666666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00887708802748"/>
                  <c:y val="0.0034722222222222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71120448462009"/>
                  <c:y val="0.03938710376422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22522939715217"/>
                  <c:y val="-0.065972222222222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Sheet1!$A$65:$E$65</c:f>
              <c:strCache>
                <c:ptCount val="5"/>
                <c:pt idx="0">
                  <c:v>社会保障和就业支出</c:v>
                </c:pt>
                <c:pt idx="1">
                  <c:v>卫生健康支出</c:v>
                </c:pt>
                <c:pt idx="2">
                  <c:v>住房保障支出</c:v>
                </c:pt>
                <c:pt idx="3">
                  <c:v>粮油物资储备支出</c:v>
                </c:pt>
              </c:strCache>
            </c:strRef>
          </c:cat>
          <c:val>
            <c:numRef>
              <c:f>Sheet1!$A$66:$E$66</c:f>
              <c:numCache>
                <c:formatCode>#,##0.00</c:formatCode>
                <c:ptCount val="5"/>
                <c:pt idx="0">
                  <c:v>14.38</c:v>
                </c:pt>
                <c:pt idx="1">
                  <c:v>0.47</c:v>
                </c:pt>
                <c:pt idx="2">
                  <c:v>7</c:v>
                </c:pt>
                <c:pt idx="3">
                  <c:v>99.15</c:v>
                </c:pt>
              </c:numCache>
            </c:numRef>
          </c:val>
        </c:ser>
        <c:dLbls>
          <c:showLegendKey val="0"/>
          <c:showVal val="0"/>
          <c:showCatName val="1"/>
          <c:showSerName val="0"/>
          <c:showPercent val="1"/>
          <c:showBubbleSize val="0"/>
          <c:showLeaderLines val="1"/>
        </c:dLbls>
        <c:firstSliceAng val="15"/>
      </c:pieChart>
      <c:spPr>
        <a:noFill/>
        <a:ln>
          <a:noFill/>
        </a:ln>
        <a:effectLst/>
      </c:spPr>
    </c:plotArea>
    <c:legend>
      <c:legendPos val="b"/>
      <c:legendEntry>
        <c:idx val="4"/>
        <c:delete val="1"/>
      </c:legendEntry>
      <c:layout>
        <c:manualLayout>
          <c:xMode val="edge"/>
          <c:yMode val="edge"/>
          <c:x val="0.109791666666667"/>
          <c:y val="0.9159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29</Pages>
  <Words>8238</Words>
  <Characters>9945</Characters>
  <Lines>82</Lines>
  <Paragraphs>23</Paragraphs>
  <TotalTime>5</TotalTime>
  <ScaleCrop>false</ScaleCrop>
  <LinksUpToDate>false</LinksUpToDate>
  <CharactersWithSpaces>10218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2022-08-11T02:40:00Z</dcterms:created>
  <dc:creator>王明新TIAD</dc:creator>
  <cp:lastModifiedBy>微信用户</cp:lastModifiedBy>
  <dcterms:modified xsi:type="dcterms:W3CDTF">2023-11-03T04:32:17Z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TemplateUUID">
    <vt:lpwstr>v1.0_mb_S7ajbG3IpAnL1wSthNCxfw==</vt:lpwstr>
  </property>
  <property fmtid="{D5CDD505-2E9C-101B-9397-08002B2CF9AE}" pid="4" name="ICV">
    <vt:lpwstr>371687E0EDB948D5A232D39E6566E4F6_13</vt:lpwstr>
  </property>
</Properties>
</file>